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F4541B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 </w:t>
      </w:r>
      <w:r w:rsidR="00F4541B">
        <w:rPr>
          <w:rFonts w:ascii="Arial" w:hAnsi="Arial" w:cs="Arial"/>
        </w:rPr>
        <w:t>contratación</w:t>
      </w:r>
      <w:r w:rsidR="00F4541B" w:rsidRPr="00F4541B">
        <w:rPr>
          <w:rFonts w:ascii="Arial" w:hAnsi="Arial" w:cs="Arial"/>
        </w:rPr>
        <w:t xml:space="preserve"> </w:t>
      </w:r>
      <w:r w:rsidR="00953619">
        <w:rPr>
          <w:rFonts w:ascii="Arial" w:hAnsi="Arial" w:cs="Arial"/>
        </w:rPr>
        <w:t>de personal a su servicio</w:t>
      </w:r>
      <w:r w:rsidR="00F4541B">
        <w:rPr>
          <w:rFonts w:ascii="Arial" w:hAnsi="Arial" w:cs="Arial"/>
        </w:rPr>
        <w:t>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953619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</w:t>
      </w:r>
      <w:r w:rsidR="00953619">
        <w:rPr>
          <w:rFonts w:ascii="Arial" w:hAnsi="Arial" w:cs="Arial"/>
        </w:rPr>
        <w:t>el r</w:t>
      </w:r>
      <w:r w:rsidR="00953619" w:rsidRPr="00953619">
        <w:rPr>
          <w:rFonts w:ascii="Arial" w:hAnsi="Arial" w:cs="Arial"/>
        </w:rPr>
        <w:t>egistro de candidatos en procesos de selección de personal, contratación de personal al servicio del ITAIPUE, apertura e integración del correspondiente expediente de personal, y cumplimiento de obligaciones legales del ITAIPUE, derivadas de la relación laboral correspondiente.</w:t>
      </w:r>
    </w:p>
    <w:p w:rsidR="00D13BBA" w:rsidRPr="00931FDD" w:rsidRDefault="005367F9" w:rsidP="00A952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Finalidad</w:t>
      </w:r>
      <w:r w:rsidR="00953619">
        <w:rPr>
          <w:rFonts w:ascii="Arial" w:hAnsi="Arial" w:cs="Arial"/>
          <w:b/>
        </w:rPr>
        <w:t>es</w:t>
      </w:r>
      <w:r w:rsidR="00D13BBA" w:rsidRPr="00931FDD">
        <w:rPr>
          <w:rFonts w:ascii="Arial" w:hAnsi="Arial" w:cs="Arial"/>
          <w:b/>
        </w:rPr>
        <w:t xml:space="preserve"> acceso</w:t>
      </w:r>
      <w:r>
        <w:rPr>
          <w:rFonts w:ascii="Arial" w:hAnsi="Arial" w:cs="Arial"/>
          <w:b/>
        </w:rPr>
        <w:t>ria</w:t>
      </w:r>
      <w:r w:rsidR="0095361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(no requiere</w:t>
      </w:r>
      <w:r w:rsidR="00953619">
        <w:rPr>
          <w:rFonts w:ascii="Arial" w:hAnsi="Arial" w:cs="Arial"/>
          <w:b/>
        </w:rPr>
        <w:t>n</w:t>
      </w:r>
      <w:r w:rsidR="00D13BBA" w:rsidRPr="00931FDD">
        <w:rPr>
          <w:rFonts w:ascii="Arial" w:hAnsi="Arial" w:cs="Arial"/>
          <w:b/>
        </w:rPr>
        <w:t xml:space="preserve"> consentimiento):</w:t>
      </w:r>
    </w:p>
    <w:p w:rsidR="00083D5D" w:rsidRDefault="005367F9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4A176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finalidad</w:t>
      </w:r>
      <w:r w:rsidR="004A176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accesoria</w:t>
      </w:r>
      <w:r w:rsidR="004A1760">
        <w:rPr>
          <w:rFonts w:ascii="Arial" w:hAnsi="Arial" w:cs="Arial"/>
        </w:rPr>
        <w:t>s</w:t>
      </w:r>
      <w:r>
        <w:rPr>
          <w:rFonts w:ascii="Arial" w:hAnsi="Arial" w:cs="Arial"/>
        </w:rPr>
        <w:t>, que no requiere</w:t>
      </w:r>
      <w:r w:rsidR="004A176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 consentimiento, consiste</w:t>
      </w:r>
      <w:r w:rsidR="004A176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en</w:t>
      </w:r>
      <w:r w:rsidR="00083D5D">
        <w:rPr>
          <w:rFonts w:ascii="Arial" w:hAnsi="Arial" w:cs="Arial"/>
        </w:rPr>
        <w:t xml:space="preserve"> las siguientes:</w:t>
      </w:r>
    </w:p>
    <w:p w:rsidR="00666685" w:rsidRDefault="00666685" w:rsidP="006666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Llevar un control de asistencias, retardos o faltas del p</w:t>
      </w:r>
      <w:r>
        <w:rPr>
          <w:rFonts w:ascii="Arial" w:hAnsi="Arial" w:cs="Arial"/>
        </w:rPr>
        <w:t>ersonal al servicio del ITAIPUE;</w:t>
      </w:r>
    </w:p>
    <w:p w:rsidR="00666685" w:rsidRDefault="00666685" w:rsidP="006666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Generar recibos d</w:t>
      </w:r>
      <w:r>
        <w:rPr>
          <w:rFonts w:ascii="Arial" w:hAnsi="Arial" w:cs="Arial"/>
        </w:rPr>
        <w:t>e nómina y comprobantes de pago;</w:t>
      </w:r>
    </w:p>
    <w:p w:rsidR="00666685" w:rsidRDefault="00666685" w:rsidP="006666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Emitir una credencial con la cual el titular de los datos personales se acredite como servido</w:t>
      </w:r>
      <w:r>
        <w:rPr>
          <w:rFonts w:ascii="Arial" w:hAnsi="Arial" w:cs="Arial"/>
        </w:rPr>
        <w:t>r público del ITAIPUE;</w:t>
      </w:r>
    </w:p>
    <w:p w:rsidR="00666685" w:rsidRDefault="00666685" w:rsidP="006666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Suministrar</w:t>
      </w:r>
      <w:r w:rsidRPr="00666685">
        <w:rPr>
          <w:rFonts w:ascii="Arial" w:hAnsi="Arial" w:cs="Arial"/>
        </w:rPr>
        <w:t xml:space="preserve"> materiales de papelería y con</w:t>
      </w:r>
      <w:r>
        <w:rPr>
          <w:rFonts w:ascii="Arial" w:hAnsi="Arial" w:cs="Arial"/>
        </w:rPr>
        <w:t>sumibles para equipo de cómputo;</w:t>
      </w:r>
    </w:p>
    <w:p w:rsidR="00666685" w:rsidRDefault="00666685" w:rsidP="006666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Atender y cumplir con disposiciones legales en las materias fiscal, laboral y de seguridad social y realizar actividades de prevención de riesgos laboral</w:t>
      </w:r>
      <w:r>
        <w:rPr>
          <w:rFonts w:ascii="Arial" w:hAnsi="Arial" w:cs="Arial"/>
        </w:rPr>
        <w:t>es y de seguridad en el trabajo;</w:t>
      </w:r>
    </w:p>
    <w:p w:rsidR="00666685" w:rsidRDefault="00666685" w:rsidP="006666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Realizar actividades de fiscalización y de auditoría interna o externa, y, eventualmente, afincamiento de responsabilidades y atención de asuntos contenciosos,</w:t>
      </w:r>
      <w:r>
        <w:rPr>
          <w:rFonts w:ascii="Arial" w:hAnsi="Arial" w:cs="Arial"/>
        </w:rPr>
        <w:t xml:space="preserve"> administrativos y/o judiciales, y</w:t>
      </w:r>
    </w:p>
    <w:p w:rsidR="00666685" w:rsidRPr="00666685" w:rsidRDefault="00666685" w:rsidP="0066668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Publicar en la página del ITAIPUE y en la Plataforma Nacional de Transparencia la información señalada por las obligaciones de transparencia previstas en la Ley de Transparencia y Acceso a la Información Pública del Estado de Puebla, respecto a información relativa a la función pública desempeñada y la erogación de recursos públicos.</w:t>
      </w:r>
    </w:p>
    <w:p w:rsidR="005367F9" w:rsidRPr="00931FDD" w:rsidRDefault="002D42C1" w:rsidP="005367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5367F9">
        <w:rPr>
          <w:rFonts w:ascii="Arial" w:hAnsi="Arial" w:cs="Arial"/>
          <w:b/>
        </w:rPr>
        <w:t>) Finalidad</w:t>
      </w:r>
      <w:r w:rsidR="00666685">
        <w:rPr>
          <w:rFonts w:ascii="Arial" w:hAnsi="Arial" w:cs="Arial"/>
          <w:b/>
        </w:rPr>
        <w:t>es</w:t>
      </w:r>
      <w:r w:rsidR="005367F9" w:rsidRPr="00931FDD">
        <w:rPr>
          <w:rFonts w:ascii="Arial" w:hAnsi="Arial" w:cs="Arial"/>
          <w:b/>
        </w:rPr>
        <w:t xml:space="preserve"> acceso</w:t>
      </w:r>
      <w:r w:rsidR="005367F9">
        <w:rPr>
          <w:rFonts w:ascii="Arial" w:hAnsi="Arial" w:cs="Arial"/>
          <w:b/>
        </w:rPr>
        <w:t>ria</w:t>
      </w:r>
      <w:r w:rsidR="00666685">
        <w:rPr>
          <w:rFonts w:ascii="Arial" w:hAnsi="Arial" w:cs="Arial"/>
          <w:b/>
        </w:rPr>
        <w:t>s</w:t>
      </w:r>
      <w:r w:rsidR="005367F9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sí</w:t>
      </w:r>
      <w:r w:rsidR="005367F9">
        <w:rPr>
          <w:rFonts w:ascii="Arial" w:hAnsi="Arial" w:cs="Arial"/>
          <w:b/>
        </w:rPr>
        <w:t xml:space="preserve"> requiere</w:t>
      </w:r>
      <w:r w:rsidR="00666685">
        <w:rPr>
          <w:rFonts w:ascii="Arial" w:hAnsi="Arial" w:cs="Arial"/>
          <w:b/>
        </w:rPr>
        <w:t>n</w:t>
      </w:r>
      <w:r w:rsidR="005367F9" w:rsidRPr="00931FDD">
        <w:rPr>
          <w:rFonts w:ascii="Arial" w:hAnsi="Arial" w:cs="Arial"/>
          <w:b/>
        </w:rPr>
        <w:t xml:space="preserve"> consentimiento):</w:t>
      </w:r>
    </w:p>
    <w:p w:rsidR="005367F9" w:rsidRDefault="002D42C1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finalidad accesoria del tratamiento de los datos personales, que sí requiere consentimiento, consiste en </w:t>
      </w:r>
      <w:r w:rsidR="00666685">
        <w:rPr>
          <w:rFonts w:ascii="Arial" w:hAnsi="Arial" w:cs="Arial"/>
        </w:rPr>
        <w:t>asesorar</w:t>
      </w:r>
      <w:r w:rsidR="00666685" w:rsidRPr="00666685">
        <w:rPr>
          <w:rFonts w:ascii="Arial" w:hAnsi="Arial" w:cs="Arial"/>
        </w:rPr>
        <w:t xml:space="preserve"> y </w:t>
      </w:r>
      <w:r w:rsidR="00666685">
        <w:rPr>
          <w:rFonts w:ascii="Arial" w:hAnsi="Arial" w:cs="Arial"/>
        </w:rPr>
        <w:t>orientar al empleado</w:t>
      </w:r>
      <w:r w:rsidR="00666685" w:rsidRPr="00666685">
        <w:rPr>
          <w:rFonts w:ascii="Arial" w:hAnsi="Arial" w:cs="Arial"/>
        </w:rPr>
        <w:t xml:space="preserve"> para la gestión de apertura de cuenta de nómina ante institución bancaria.</w:t>
      </w:r>
      <w:r w:rsidR="00666685">
        <w:rPr>
          <w:rFonts w:ascii="Arial" w:hAnsi="Arial" w:cs="Arial"/>
        </w:rPr>
        <w:t xml:space="preserve"> Asimismo, </w:t>
      </w:r>
      <w:r>
        <w:rPr>
          <w:rFonts w:ascii="Arial" w:hAnsi="Arial" w:cs="Arial"/>
        </w:rPr>
        <w:t>p</w:t>
      </w:r>
      <w:r w:rsidRPr="00630A74">
        <w:rPr>
          <w:rFonts w:ascii="Arial" w:hAnsi="Arial" w:cs="Arial"/>
        </w:rPr>
        <w:t>roporcionar los datos personales en respuesta a una solicitud de acceso a la información pública, previa autorización del titular, de conformidad con los artículos 136 y 137 de la Ley de Transparencia y Acceso a la Información Pública del Estado de Puebla</w:t>
      </w:r>
      <w:r w:rsidR="004A1760">
        <w:rPr>
          <w:rFonts w:ascii="Arial" w:hAnsi="Arial" w:cs="Arial"/>
        </w:rPr>
        <w:t xml:space="preserve"> (</w:t>
      </w:r>
      <w:r w:rsidR="00A73D35" w:rsidRPr="00A73D35">
        <w:rPr>
          <w:rFonts w:ascii="Arial" w:hAnsi="Arial" w:cs="Arial"/>
        </w:rPr>
        <w:t>únicamente en cuanto a datos personales que</w:t>
      </w:r>
      <w:r w:rsidR="00A73D35" w:rsidRPr="00A73D35">
        <w:t xml:space="preserve"> </w:t>
      </w:r>
      <w:r w:rsidR="00A73D35" w:rsidRPr="00A73D35">
        <w:rPr>
          <w:rFonts w:ascii="Arial" w:hAnsi="Arial" w:cs="Arial"/>
        </w:rPr>
        <w:t>no se prevea su publicación, de acuerdo a la normativa aplicable, en materia de publicación de obligaciones de transparencia</w:t>
      </w:r>
      <w:r w:rsidR="00A73D35">
        <w:rPr>
          <w:rFonts w:ascii="Arial" w:hAnsi="Arial" w:cs="Arial"/>
        </w:rPr>
        <w:t>, es decir,</w:t>
      </w:r>
      <w:r w:rsidR="00A73D35" w:rsidRPr="00A73D35">
        <w:rPr>
          <w:rFonts w:ascii="Arial" w:hAnsi="Arial" w:cs="Arial"/>
        </w:rPr>
        <w:t xml:space="preserve"> no guarden relación directa con el cargo público desempeñado, la condición de servidor público y la erogación de gasto público).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A73D35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>Los datos personales</w:t>
      </w:r>
      <w:r w:rsidR="002D42C1">
        <w:rPr>
          <w:rFonts w:ascii="Arial" w:hAnsi="Arial" w:cs="Arial"/>
        </w:rPr>
        <w:t xml:space="preserve"> del </w:t>
      </w:r>
      <w:r w:rsidR="004A1760">
        <w:rPr>
          <w:rFonts w:ascii="Arial" w:hAnsi="Arial" w:cs="Arial"/>
        </w:rPr>
        <w:t>proveedor</w:t>
      </w:r>
      <w:r w:rsidRPr="00947614">
        <w:rPr>
          <w:rFonts w:ascii="Arial" w:hAnsi="Arial" w:cs="Arial"/>
        </w:rPr>
        <w:t xml:space="preserve"> que serán sometidos a tratamiento consisten en: </w:t>
      </w:r>
      <w:r w:rsidR="00EE4489">
        <w:rPr>
          <w:rFonts w:ascii="Arial" w:hAnsi="Arial" w:cs="Arial"/>
        </w:rPr>
        <w:t xml:space="preserve">nombre; </w:t>
      </w:r>
      <w:r w:rsidR="00EE4489">
        <w:rPr>
          <w:rFonts w:ascii="Arial" w:hAnsi="Arial" w:cs="Arial"/>
        </w:rPr>
        <w:t>rúbrica y/o firma autógrafa</w:t>
      </w:r>
      <w:r w:rsidR="00EE4489">
        <w:rPr>
          <w:rFonts w:ascii="Arial" w:hAnsi="Arial" w:cs="Arial"/>
        </w:rPr>
        <w:t>; n</w:t>
      </w:r>
      <w:r w:rsidR="00EE4489" w:rsidRPr="00EE4489">
        <w:rPr>
          <w:rFonts w:ascii="Arial" w:hAnsi="Arial" w:cs="Arial"/>
        </w:rPr>
        <w:t>úmero de Registro Federal de Contribuyentes (RFC)</w:t>
      </w:r>
      <w:r w:rsidR="00EE4489">
        <w:rPr>
          <w:rFonts w:ascii="Arial" w:hAnsi="Arial" w:cs="Arial"/>
        </w:rPr>
        <w:t xml:space="preserve">; </w:t>
      </w:r>
      <w:r w:rsidR="00EE4489" w:rsidRPr="00EE4489">
        <w:rPr>
          <w:rFonts w:ascii="Arial" w:hAnsi="Arial" w:cs="Arial"/>
        </w:rPr>
        <w:t>Clave Única de Registro de Población (CURP)</w:t>
      </w:r>
      <w:r w:rsidR="00EE4489">
        <w:rPr>
          <w:rFonts w:ascii="Arial" w:hAnsi="Arial" w:cs="Arial"/>
        </w:rPr>
        <w:t>; fotografía; domicilio; número de teléfono personal; correo electrónico personal; edad; sexo; número de cédula profesional; n</w:t>
      </w:r>
      <w:r w:rsidR="00EE4489" w:rsidRPr="00EE4489">
        <w:rPr>
          <w:rFonts w:ascii="Arial" w:hAnsi="Arial" w:cs="Arial"/>
        </w:rPr>
        <w:t>úmero de segur</w:t>
      </w:r>
      <w:r w:rsidR="00EE4489">
        <w:rPr>
          <w:rFonts w:ascii="Arial" w:hAnsi="Arial" w:cs="Arial"/>
        </w:rPr>
        <w:t>idad social o de afiliación a</w:t>
      </w:r>
      <w:r w:rsidR="00EE4489" w:rsidRPr="00EE4489">
        <w:rPr>
          <w:rFonts w:ascii="Arial" w:hAnsi="Arial" w:cs="Arial"/>
        </w:rPr>
        <w:t>l Instituto de Seguridad y Servicios Sociales de los Trabajadores al Servicio de los Poderes del Estado de Puebla (ISSSTEP)</w:t>
      </w:r>
      <w:r w:rsidR="00EE4489">
        <w:rPr>
          <w:rFonts w:ascii="Arial" w:hAnsi="Arial" w:cs="Arial"/>
        </w:rPr>
        <w:t>; número de cuenta bancaria; c</w:t>
      </w:r>
      <w:r w:rsidR="00EE4489" w:rsidRPr="00EE4489">
        <w:rPr>
          <w:rFonts w:ascii="Arial" w:hAnsi="Arial" w:cs="Arial"/>
        </w:rPr>
        <w:t>ualidad de no contar con antecedentes penales</w:t>
      </w:r>
      <w:r w:rsidR="00EE4489">
        <w:rPr>
          <w:rFonts w:ascii="Arial" w:hAnsi="Arial" w:cs="Arial"/>
        </w:rPr>
        <w:t>; s</w:t>
      </w:r>
      <w:r w:rsidR="00EE4489" w:rsidRPr="00EE4489">
        <w:rPr>
          <w:rFonts w:ascii="Arial" w:hAnsi="Arial" w:cs="Arial"/>
        </w:rPr>
        <w:t>ituación de no inhabilitado para el desempeño de un empleo, cargo o comisión en el servicio público</w:t>
      </w:r>
      <w:r w:rsidR="00EE4489">
        <w:rPr>
          <w:rFonts w:ascii="Arial" w:hAnsi="Arial" w:cs="Arial"/>
        </w:rPr>
        <w:t>; grado de estudios, c</w:t>
      </w:r>
      <w:r w:rsidR="00EE4489" w:rsidRPr="00EE4489">
        <w:rPr>
          <w:rFonts w:ascii="Arial" w:hAnsi="Arial" w:cs="Arial"/>
        </w:rPr>
        <w:t>arrera, especialización y cursos realizados</w:t>
      </w:r>
      <w:r w:rsidR="00EE4489">
        <w:rPr>
          <w:rFonts w:ascii="Arial" w:hAnsi="Arial" w:cs="Arial"/>
        </w:rPr>
        <w:t>; i</w:t>
      </w:r>
      <w:r w:rsidR="00EE4489" w:rsidRPr="00EE4489">
        <w:rPr>
          <w:rFonts w:ascii="Arial" w:hAnsi="Arial" w:cs="Arial"/>
        </w:rPr>
        <w:t>nstituciones educativas o de cualquier otra índole y periodos en los que se cursaron los estudios académicos</w:t>
      </w:r>
      <w:r w:rsidR="00EE4489">
        <w:rPr>
          <w:rFonts w:ascii="Arial" w:hAnsi="Arial" w:cs="Arial"/>
        </w:rPr>
        <w:t>; t</w:t>
      </w:r>
      <w:r w:rsidR="00EE4489" w:rsidRPr="00EE4489">
        <w:rPr>
          <w:rFonts w:ascii="Arial" w:hAnsi="Arial" w:cs="Arial"/>
        </w:rPr>
        <w:t>alleres, seminarios, cursos, congresos, o cualquier otro acto o evento de capacitación o formación</w:t>
      </w:r>
      <w:r w:rsidR="00EE4489">
        <w:rPr>
          <w:rFonts w:ascii="Arial" w:hAnsi="Arial" w:cs="Arial"/>
        </w:rPr>
        <w:t>; conocimiento de idiomas; m</w:t>
      </w:r>
      <w:r w:rsidR="00EE4489" w:rsidRPr="00EE4489">
        <w:rPr>
          <w:rFonts w:ascii="Arial" w:hAnsi="Arial" w:cs="Arial"/>
        </w:rPr>
        <w:t>anejo de herramientas tecnológicas, entre otras habilidades y competencias</w:t>
      </w:r>
      <w:r w:rsidR="00EE4489">
        <w:rPr>
          <w:rFonts w:ascii="Arial" w:hAnsi="Arial" w:cs="Arial"/>
        </w:rPr>
        <w:t>; e</w:t>
      </w:r>
      <w:r w:rsidR="00EE4489" w:rsidRPr="00EE4489">
        <w:rPr>
          <w:rFonts w:ascii="Arial" w:hAnsi="Arial" w:cs="Arial"/>
        </w:rPr>
        <w:t>mpleos anteriores, con la indicación del nombre del empleador, duración en el empleo y lugar donde se laboró</w:t>
      </w:r>
      <w:r w:rsidR="00EE4489">
        <w:rPr>
          <w:rFonts w:ascii="Arial" w:hAnsi="Arial" w:cs="Arial"/>
        </w:rPr>
        <w:t>; huella digital; número de licencia para conducir; y c</w:t>
      </w:r>
      <w:r w:rsidR="00EE4489" w:rsidRPr="00EE4489">
        <w:rPr>
          <w:rFonts w:ascii="Arial" w:hAnsi="Arial" w:cs="Arial"/>
        </w:rPr>
        <w:t xml:space="preserve">opia de los siguientes documentos que contienen datos personales: </w:t>
      </w:r>
      <w:r w:rsidR="00EE4489" w:rsidRPr="00EE4489">
        <w:rPr>
          <w:rFonts w:ascii="Arial" w:hAnsi="Arial" w:cs="Arial"/>
          <w:i/>
        </w:rPr>
        <w:t>curriculum vitae</w:t>
      </w:r>
      <w:r w:rsidR="00EE4489" w:rsidRPr="00EE4489">
        <w:rPr>
          <w:rFonts w:ascii="Arial" w:hAnsi="Arial" w:cs="Arial"/>
        </w:rPr>
        <w:t>, identificación oficial vigente, comprobante de domicilio, acta de nacimiento, constancias de no antecedentes penales y de no inhabilitación para el desempeño de un empleo, cargo o comisión en el servicio público, títulos, certificados, diplomas y constancias</w:t>
      </w:r>
      <w:r w:rsidR="00EE4489">
        <w:rPr>
          <w:rFonts w:ascii="Arial" w:hAnsi="Arial" w:cs="Arial"/>
        </w:rPr>
        <w:t>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796A21" w:rsidRDefault="003618B5" w:rsidP="003618B5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 xml:space="preserve">Los datos personales recabados </w:t>
      </w:r>
      <w:r w:rsidR="00796A21">
        <w:rPr>
          <w:rFonts w:ascii="Arial" w:hAnsi="Arial" w:cs="Arial"/>
        </w:rPr>
        <w:t xml:space="preserve">podrán ser </w:t>
      </w:r>
      <w:r w:rsidRPr="000478BA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to de transferencias </w:t>
      </w:r>
      <w:r w:rsidR="00796A21">
        <w:rPr>
          <w:rFonts w:ascii="Arial" w:hAnsi="Arial" w:cs="Arial"/>
        </w:rPr>
        <w:t>a la Auditoría</w:t>
      </w:r>
      <w:r w:rsidR="002A49B9">
        <w:rPr>
          <w:rFonts w:ascii="Arial" w:hAnsi="Arial" w:cs="Arial"/>
        </w:rPr>
        <w:t xml:space="preserve"> Superior del Estado de Puebla, a la Auditoría Superior de la Federación,</w:t>
      </w:r>
      <w:r w:rsidR="00796A21">
        <w:rPr>
          <w:rFonts w:ascii="Arial" w:hAnsi="Arial" w:cs="Arial"/>
        </w:rPr>
        <w:t xml:space="preserve"> a auditores externos</w:t>
      </w:r>
      <w:r w:rsidR="002A49B9">
        <w:rPr>
          <w:rFonts w:ascii="Arial" w:hAnsi="Arial" w:cs="Arial"/>
        </w:rPr>
        <w:t xml:space="preserve"> y la Secretaría de la Función Pública del Gobierno del Estado de Puebla</w:t>
      </w:r>
      <w:r w:rsidR="00796A21">
        <w:rPr>
          <w:rFonts w:ascii="Arial" w:hAnsi="Arial" w:cs="Arial"/>
        </w:rPr>
        <w:t>, en caso de que se practique alguna revisión que tenga por objeto la documentación e información referente a</w:t>
      </w:r>
      <w:r w:rsidR="002A49B9">
        <w:rPr>
          <w:rFonts w:ascii="Arial" w:hAnsi="Arial" w:cs="Arial"/>
        </w:rPr>
        <w:t xml:space="preserve"> la contratación de personal laboral; lo anterior</w:t>
      </w:r>
      <w:r w:rsidR="00796A21">
        <w:rPr>
          <w:rFonts w:ascii="Arial" w:hAnsi="Arial" w:cs="Arial"/>
        </w:rPr>
        <w:t>, en c</w:t>
      </w:r>
      <w:r w:rsidR="00796A21" w:rsidRPr="00796A21">
        <w:rPr>
          <w:rFonts w:ascii="Arial" w:hAnsi="Arial" w:cs="Arial"/>
        </w:rPr>
        <w:t>umplimiento de disposiciones y obligaciones legales, en materia de rendición de cuentas, fiscalización y auditoría. En caso de alguna revisión, se deberá facilitar la información solicitada por el ente fiscalizador</w:t>
      </w:r>
      <w:r w:rsidR="002A49B9">
        <w:rPr>
          <w:rFonts w:ascii="Arial" w:hAnsi="Arial" w:cs="Arial"/>
        </w:rPr>
        <w:t>, dependencia o auditor</w:t>
      </w:r>
      <w:r w:rsidR="00796A21" w:rsidRPr="00796A21">
        <w:rPr>
          <w:rFonts w:ascii="Arial" w:hAnsi="Arial" w:cs="Arial"/>
        </w:rPr>
        <w:t>, lo cual podrá basarse en muestras aleatorias.</w:t>
      </w:r>
      <w:r w:rsidR="00796A21">
        <w:rPr>
          <w:rFonts w:ascii="Arial" w:hAnsi="Arial" w:cs="Arial"/>
        </w:rPr>
        <w:t xml:space="preserve"> </w:t>
      </w:r>
      <w:r w:rsidR="002A49B9">
        <w:rPr>
          <w:rFonts w:ascii="Arial" w:hAnsi="Arial" w:cs="Arial"/>
        </w:rPr>
        <w:t xml:space="preserve">Adicionalmente, los datos personales recabados podrán ser objeto de transferencia al Servicio de </w:t>
      </w:r>
      <w:r w:rsidR="002A49B9">
        <w:rPr>
          <w:rFonts w:ascii="Arial" w:hAnsi="Arial" w:cs="Arial"/>
        </w:rPr>
        <w:lastRenderedPageBreak/>
        <w:t>Administración Tributaria</w:t>
      </w:r>
      <w:r w:rsidR="002A49B9">
        <w:t xml:space="preserve">, en </w:t>
      </w:r>
      <w:r w:rsidR="002A49B9">
        <w:rPr>
          <w:rFonts w:ascii="Arial" w:hAnsi="Arial" w:cs="Arial"/>
        </w:rPr>
        <w:t>c</w:t>
      </w:r>
      <w:r w:rsidR="002A49B9" w:rsidRPr="002A49B9">
        <w:rPr>
          <w:rFonts w:ascii="Arial" w:hAnsi="Arial" w:cs="Arial"/>
        </w:rPr>
        <w:t>umplimiento de disposiciones y obligaciones legales, en materia fiscal</w:t>
      </w:r>
      <w:r w:rsidR="002A49B9">
        <w:rPr>
          <w:rFonts w:ascii="Arial" w:hAnsi="Arial" w:cs="Arial"/>
        </w:rPr>
        <w:t xml:space="preserve">. </w:t>
      </w:r>
      <w:r w:rsidR="002A49B9" w:rsidRPr="002A49B9">
        <w:rPr>
          <w:rFonts w:ascii="Arial" w:hAnsi="Arial" w:cs="Arial"/>
        </w:rPr>
        <w:t>En ese sentido, las transferencias que puedan llegar a realizarse no requieren consentimiento, en términos del artículo 94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t>5) Fundamento legal.</w:t>
      </w:r>
    </w:p>
    <w:p w:rsidR="009443EA" w:rsidRPr="00064842" w:rsidRDefault="009443EA" w:rsidP="009443EA">
      <w:pPr>
        <w:jc w:val="both"/>
        <w:rPr>
          <w:rFonts w:ascii="Arial" w:hAnsi="Arial" w:cs="Arial"/>
          <w:b/>
        </w:rPr>
      </w:pPr>
      <w:r w:rsidRPr="00064842">
        <w:rPr>
          <w:rFonts w:ascii="Arial" w:hAnsi="Arial" w:cs="Arial"/>
          <w:b/>
        </w:rPr>
        <w:t>5.1) Fundamento legal para llevar a cabo el tratamiento de datos personales:</w:t>
      </w:r>
    </w:p>
    <w:p w:rsidR="00C464F9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</w:t>
      </w:r>
      <w:r w:rsidR="003B073C">
        <w:rPr>
          <w:rFonts w:ascii="Arial" w:hAnsi="Arial" w:cs="Arial"/>
        </w:rPr>
        <w:t>, en cuanto a su finalidad principal,</w:t>
      </w:r>
      <w:r>
        <w:rPr>
          <w:rFonts w:ascii="Arial" w:hAnsi="Arial" w:cs="Arial"/>
        </w:rPr>
        <w:t xml:space="preserve"> se encuentra en los artículos</w:t>
      </w:r>
      <w:r w:rsidR="00C464F9" w:rsidRPr="00C464F9">
        <w:t xml:space="preserve"> </w:t>
      </w:r>
      <w:r w:rsidR="00C464F9" w:rsidRPr="00C464F9">
        <w:rPr>
          <w:rFonts w:ascii="Arial" w:hAnsi="Arial" w:cs="Arial"/>
        </w:rPr>
        <w:t xml:space="preserve">5, 123 y 127 de la Constitución Política de los Estados Unidos Mexicanos; 134 de la Constitución Política del Estado Libre y Soberano de Puebla; 23, 37, 39, fracciones IV y VI, de la Ley de Transparencia y Acceso a la Información Pública del Estado de Puebla; y 18, fracciones VIII, IX y XI, y 24 bis, fracciones III, VIII y IX, del </w:t>
      </w:r>
      <w:r w:rsidR="007F1275" w:rsidRPr="007F127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C464F9" w:rsidRPr="00C464F9">
        <w:rPr>
          <w:rFonts w:ascii="Arial" w:hAnsi="Arial" w:cs="Arial"/>
        </w:rPr>
        <w:t>.</w:t>
      </w:r>
    </w:p>
    <w:p w:rsidR="00872AF5" w:rsidRDefault="00872AF5" w:rsidP="009260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e</w:t>
      </w:r>
      <w:r w:rsidRPr="00872AF5">
        <w:rPr>
          <w:rFonts w:ascii="Arial" w:hAnsi="Arial" w:cs="Arial"/>
        </w:rPr>
        <w:t>l fundamento legal que faculta al ITAIPUE para llevar a cabo el presente tratamiento de datos personales, en cuanto a su</w:t>
      </w:r>
      <w:r>
        <w:rPr>
          <w:rFonts w:ascii="Arial" w:hAnsi="Arial" w:cs="Arial"/>
        </w:rPr>
        <w:t>s</w:t>
      </w:r>
      <w:r w:rsidRPr="00872AF5">
        <w:rPr>
          <w:rFonts w:ascii="Arial" w:hAnsi="Arial" w:cs="Arial"/>
        </w:rPr>
        <w:t xml:space="preserve"> finalidad</w:t>
      </w:r>
      <w:r>
        <w:rPr>
          <w:rFonts w:ascii="Arial" w:hAnsi="Arial" w:cs="Arial"/>
        </w:rPr>
        <w:t>es</w:t>
      </w:r>
      <w:r w:rsidRPr="00872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accesorias</w:t>
      </w:r>
      <w:r w:rsidRPr="00872AF5">
        <w:rPr>
          <w:rFonts w:ascii="Arial" w:hAnsi="Arial" w:cs="Arial"/>
        </w:rPr>
        <w:t>, se encuentra en los artículos</w:t>
      </w:r>
      <w:r>
        <w:rPr>
          <w:rFonts w:ascii="Arial" w:hAnsi="Arial" w:cs="Arial"/>
        </w:rPr>
        <w:t xml:space="preserve"> siguientes:</w:t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68267B" w:rsidRPr="00872AF5" w:rsidTr="00466F75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CBECB"/>
            <w:noWrap/>
            <w:vAlign w:val="center"/>
            <w:hideMark/>
          </w:tcPr>
          <w:p w:rsidR="0068267B" w:rsidRPr="00872AF5" w:rsidRDefault="0068267B" w:rsidP="00466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2A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Finalidad: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ECB"/>
            <w:noWrap/>
            <w:vAlign w:val="center"/>
            <w:hideMark/>
          </w:tcPr>
          <w:p w:rsidR="0068267B" w:rsidRPr="00872AF5" w:rsidRDefault="0068267B" w:rsidP="00466F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2A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Fundamento legal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Llevar un control de asistencias, retardos o faltas del personal al servicio del ITAIPUE.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18, fracción VIII y 24 bis, fracción III,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recibos de nómina y comprobantes de pago.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18, fracciones VIII y XI y 24 bis, fracción VI,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Emitir una credencial con la cual el titular de los datos personales se acredite como servidor público del ITAIPUE.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18, fracción VIII y 24 bis, fracciones I, VIII y IX,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173171" w:rsidP="001731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Asesorar</w:t>
            </w:r>
            <w:r w:rsidR="0068267B"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orientar</w:t>
            </w:r>
            <w:r w:rsidR="0068267B"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la gestión de apertura de cuenta de nómina ante institución bancaria.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18, fracciones VIII y IX y 24 bis, fracción VIII,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173171" w:rsidP="001731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Suministrar</w:t>
            </w:r>
            <w:r w:rsidR="0068267B"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  <w:r w:rsidR="0068267B"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papelería y consumibles para equipo de cómputo.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  <w:hideMark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18, fracciones V y 24 bis, fracciones IV y XVI,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Atender y cumplir con disposiciones legales en las materias fiscal, laboral y de seguridad social y realizar actividades de prevención de riesgos laborales y de seguridad en el trabajo.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Artículos 4, párrafo cuarto, 5, 31, fracción IV, 123, de la </w:t>
            </w:r>
            <w:r w:rsidR="00994158" w:rsidRPr="0099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12, fracción V, 17, fracción II, 110, 123 y 134, de la </w:t>
            </w:r>
            <w:r w:rsidR="00994158" w:rsidRPr="0099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Puebla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76 de la LIR; 9, 10, 11 y 12 de la </w:t>
            </w:r>
            <w:r w:rsidR="00FE6E2D"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Instituto de Seguridad y Servicios Sociales de los Trabajadores al Servicio de los Poderes del Estado de Puebla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9 y 15 del </w:t>
            </w:r>
            <w:r w:rsidR="00FE6E2D"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Afiliación y Vigencia de Derechos del Instituto de Seguridad y Servicios Sociales de los Trabajadores al Servicio de los Poderes del Estado de Puebla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 y 18, fracciones VIII y 24 bis, fracción IX,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actividades de fiscalización y de auditoría interna o externa, y, eventualmente, afincamiento de responsabilidades y atención de asuntos contenciosos, administrativos y/o judiciales.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Artículos 17, párrafo segundo, 21, párrafo primero, 79, fracción IV, párrafo cuarto, 94, 102, apartado A, 103 y 107, 116, fracción II, párrafo sexto, 123, apartado B, fracción XII, de la </w:t>
            </w:r>
            <w:r w:rsidR="00994158" w:rsidRPr="0099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12, fracción X, 86, 95, 108, 113, 114, 124, 125 de la </w:t>
            </w:r>
            <w:r w:rsidR="00994158" w:rsidRPr="0099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Libre y Soberano de Puebla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44 de la </w:t>
            </w:r>
            <w:r w:rsidR="00FE6E2D"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Presupuesto y Gasto Público Responsable del Estado de Puebla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1, 3, 22, 37, 38 y 39 de la </w:t>
            </w:r>
            <w:r w:rsidR="00FE6E2D"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Fiscalización Superior y Rendición de Cuentas para el Estado de Puebla</w:t>
            </w: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; y 15, fracción XXXI, y 18, fracciones XIV y XV,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Publicar en la página del ITAIPUE y en la Plataforma Nacional de Transparencia la información señalada por las obligaciones de transparencia previstas en la Ley de Transparencia y Acceso a la Información Pública del Estado de Puebla, respecto a información relativa a la función pública desempeñada y la erogación de recursos públicos.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69, 71, 77, fracciones VII, VIII, IX, XIV, XVII y XLIII, de la Ley de Transparencia y Acceso a la Información Pública del Estado de Puebla y 15, fracción XXVIII, 18, fracción VIII, y 24 bis, fracciones VIII, IX y X, del Reglamento Interior del Instituto de Transparencia, Acceso a la Información Pública y Protección de Datos Personales del Estado de Puebla.</w:t>
            </w:r>
          </w:p>
        </w:tc>
      </w:tr>
      <w:tr w:rsidR="0068267B" w:rsidRPr="0068267B" w:rsidTr="0068267B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los datos personales en respuesta a una solicitud de acceso a la información pública, previa autorización del titular.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tcMar>
              <w:top w:w="57" w:type="dxa"/>
              <w:bottom w:w="57" w:type="dxa"/>
            </w:tcMar>
            <w:vAlign w:val="center"/>
          </w:tcPr>
          <w:p w:rsidR="0068267B" w:rsidRPr="0068267B" w:rsidRDefault="0068267B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26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136 y 137 de la Ley de Transparencia y Acceso a la Información Pública del Estado de Puebla.</w:t>
            </w:r>
          </w:p>
        </w:tc>
      </w:tr>
    </w:tbl>
    <w:p w:rsidR="00770A39" w:rsidRDefault="00770A39" w:rsidP="009443EA">
      <w:pPr>
        <w:jc w:val="both"/>
        <w:rPr>
          <w:rFonts w:ascii="Arial" w:hAnsi="Arial" w:cs="Arial"/>
          <w:b/>
        </w:rPr>
      </w:pPr>
    </w:p>
    <w:p w:rsidR="009443EA" w:rsidRPr="00064842" w:rsidRDefault="009443EA" w:rsidP="009443EA">
      <w:pPr>
        <w:jc w:val="both"/>
        <w:rPr>
          <w:rFonts w:ascii="Arial" w:hAnsi="Arial" w:cs="Arial"/>
          <w:b/>
        </w:rPr>
      </w:pPr>
      <w:r w:rsidRPr="0006484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</w:t>
      </w:r>
      <w:r w:rsidRPr="00064842">
        <w:rPr>
          <w:rFonts w:ascii="Arial" w:hAnsi="Arial" w:cs="Arial"/>
          <w:b/>
        </w:rPr>
        <w:t xml:space="preserve">) Fundamento legal para llevar a cabo </w:t>
      </w:r>
      <w:r>
        <w:rPr>
          <w:rFonts w:ascii="Arial" w:hAnsi="Arial" w:cs="Arial"/>
          <w:b/>
        </w:rPr>
        <w:t>la transferencia</w:t>
      </w:r>
      <w:r w:rsidRPr="00064842">
        <w:rPr>
          <w:rFonts w:ascii="Arial" w:hAnsi="Arial" w:cs="Arial"/>
          <w:b/>
        </w:rPr>
        <w:t xml:space="preserve"> de datos personales:</w:t>
      </w:r>
    </w:p>
    <w:p w:rsidR="00770A39" w:rsidRDefault="009443EA" w:rsidP="009443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fundamento legal que faculta al ITAIPUE para llevar a cabo la transferencia de datos personales se encuentra en los </w:t>
      </w:r>
      <w:r w:rsidR="00770A39">
        <w:rPr>
          <w:rFonts w:ascii="Arial" w:hAnsi="Arial" w:cs="Arial"/>
        </w:rPr>
        <w:t>artículos</w:t>
      </w:r>
      <w:r w:rsidR="004F2452">
        <w:rPr>
          <w:rFonts w:ascii="Arial" w:hAnsi="Arial" w:cs="Arial"/>
        </w:rPr>
        <w:t xml:space="preserve"> siguientes:</w:t>
      </w:r>
    </w:p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F2452" w:rsidRPr="00872AF5" w:rsidTr="00293703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ACBECB"/>
            <w:noWrap/>
            <w:vAlign w:val="center"/>
            <w:hideMark/>
          </w:tcPr>
          <w:p w:rsidR="004F2452" w:rsidRPr="00872AF5" w:rsidRDefault="004F2452" w:rsidP="00293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Receptor</w:t>
            </w:r>
            <w:r w:rsidRPr="00872A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ECB"/>
            <w:noWrap/>
            <w:vAlign w:val="center"/>
            <w:hideMark/>
          </w:tcPr>
          <w:p w:rsidR="004F2452" w:rsidRPr="00872AF5" w:rsidRDefault="004F2452" w:rsidP="002937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72A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Fundamento legal</w:t>
            </w:r>
          </w:p>
        </w:tc>
      </w:tr>
      <w:tr w:rsidR="004F2452" w:rsidRPr="00872AF5" w:rsidTr="00293703">
        <w:trPr>
          <w:trHeight w:val="8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  <w:hideMark/>
          </w:tcPr>
          <w:p w:rsidR="004F2452" w:rsidRPr="00872AF5" w:rsidRDefault="004F2452" w:rsidP="004F2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Superior del Estado de Puebla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  <w:hideMark/>
          </w:tcPr>
          <w:p w:rsidR="004F2452" w:rsidRPr="00872AF5" w:rsidRDefault="004F2452" w:rsidP="004F24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4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113 y 114 de la Constitución Política del 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tado Libre y Soberano de Puebla y </w:t>
            </w:r>
            <w:r w:rsidRPr="004F24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 2, 9, 30, 31, 32, 33, 35, 37, 43 y 54  de la Ley de Rendición de Cuentas y Fiscalización Superior del Estado de Puebla.</w:t>
            </w:r>
          </w:p>
        </w:tc>
      </w:tr>
      <w:tr w:rsidR="00FE6E2D" w:rsidRPr="00872AF5" w:rsidTr="00293703">
        <w:trPr>
          <w:trHeight w:val="8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FE6E2D" w:rsidRDefault="00FE6E2D" w:rsidP="004F2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Superior de la Federación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FE6E2D" w:rsidRPr="004F2452" w:rsidRDefault="00FE6E2D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79 y 116, fracción II, párrafo sexto, de la Constitución Política de los Estados Unidos Mexicanos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1, 2, 9, 14, 15, 17, 23, 25, 26 y 30 de la Ley de Fiscalización y Rendición de Cuentas de la Federación.</w:t>
            </w:r>
          </w:p>
        </w:tc>
      </w:tr>
      <w:tr w:rsidR="004F2452" w:rsidRPr="00872AF5" w:rsidTr="00293703">
        <w:trPr>
          <w:trHeight w:val="8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4F2452" w:rsidRDefault="004F2452" w:rsidP="004F2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Auditores externos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4F2452" w:rsidRPr="004F2452" w:rsidRDefault="004F2452" w:rsidP="004F24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24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Artículos 113 y 114 de la Constitución Política del 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tado Libre y Soberano de Puebla y</w:t>
            </w:r>
            <w:r w:rsidRPr="004F245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9 y 55  de la Ley de Rendición de Cuentas y Fiscalización Superior del Estado de Puebla.</w:t>
            </w:r>
          </w:p>
        </w:tc>
      </w:tr>
      <w:tr w:rsidR="00FE6E2D" w:rsidRPr="00872AF5" w:rsidTr="00293703">
        <w:trPr>
          <w:trHeight w:val="8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FE6E2D" w:rsidRDefault="00FE6E2D" w:rsidP="004F2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 Función Pública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FE6E2D" w:rsidRPr="004F2452" w:rsidRDefault="00FE6E2D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83 de la Constitución Política del Est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ado Libre y Soberano de Puebla y </w:t>
            </w: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 fracciones I, V, VI y VIII, de la Ley Orgánica de la Administración Pública del Estado de Puebla.</w:t>
            </w:r>
          </w:p>
        </w:tc>
      </w:tr>
      <w:tr w:rsidR="00FE6E2D" w:rsidRPr="00872AF5" w:rsidTr="00293703">
        <w:trPr>
          <w:trHeight w:val="8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FE6E2D" w:rsidRPr="00FE6E2D" w:rsidRDefault="00FE6E2D" w:rsidP="004F2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Administración Tributaria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D3D4D6"/>
            <w:noWrap/>
            <w:tcMar>
              <w:top w:w="57" w:type="dxa"/>
              <w:bottom w:w="57" w:type="dxa"/>
            </w:tcMar>
            <w:vAlign w:val="center"/>
          </w:tcPr>
          <w:p w:rsidR="00FE6E2D" w:rsidRPr="00FE6E2D" w:rsidRDefault="00FE6E2D" w:rsidP="00FE6E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29, primer y último párrafos y 29-A, segundo párrafo, del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Fiscal de la Federación y</w:t>
            </w:r>
            <w:r w:rsidRPr="00FE6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76, 94, fracción I, 96, 97 y 99 de la Ley del Impuesto sobre la Renta.</w:t>
            </w:r>
          </w:p>
        </w:tc>
      </w:tr>
    </w:tbl>
    <w:p w:rsidR="004F2452" w:rsidRPr="004F2452" w:rsidRDefault="004F2452" w:rsidP="00B1432A">
      <w:pPr>
        <w:jc w:val="both"/>
        <w:rPr>
          <w:rFonts w:ascii="Arial" w:hAnsi="Arial" w:cs="Arial"/>
          <w:sz w:val="24"/>
        </w:rPr>
      </w:pP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 (acceso, rectificación, cancelación,</w:t>
      </w:r>
      <w:r w:rsidR="00281E9B" w:rsidRPr="008E1525">
        <w:rPr>
          <w:rFonts w:ascii="Arial" w:hAnsi="Arial" w:cs="Arial"/>
        </w:rPr>
        <w:t xml:space="preserve"> oposición</w:t>
      </w:r>
      <w:r w:rsidR="00281E9B">
        <w:rPr>
          <w:rFonts w:ascii="Arial" w:hAnsi="Arial" w:cs="Arial"/>
        </w:rPr>
        <w:t xml:space="preserve"> y portabilidad</w:t>
      </w:r>
      <w:r w:rsidR="00281E9B" w:rsidRPr="008E1525">
        <w:rPr>
          <w:rFonts w:ascii="Arial" w:hAnsi="Arial" w:cs="Arial"/>
        </w:rPr>
        <w:t>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lastRenderedPageBreak/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BF2C56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C56" w:rsidRDefault="00BF2C56" w:rsidP="00C93260">
      <w:pPr>
        <w:spacing w:after="0" w:line="240" w:lineRule="auto"/>
      </w:pPr>
      <w:r>
        <w:separator/>
      </w:r>
    </w:p>
  </w:endnote>
  <w:endnote w:type="continuationSeparator" w:id="0">
    <w:p w:rsidR="00BF2C56" w:rsidRDefault="00BF2C56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C56" w:rsidRDefault="00BF2C56" w:rsidP="00C93260">
      <w:pPr>
        <w:spacing w:after="0" w:line="240" w:lineRule="auto"/>
      </w:pPr>
      <w:r>
        <w:separator/>
      </w:r>
    </w:p>
  </w:footnote>
  <w:footnote w:type="continuationSeparator" w:id="0">
    <w:p w:rsidR="00BF2C56" w:rsidRDefault="00BF2C56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953619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953619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BASES DE DATOS REFERENTE A </w:t>
                          </w:r>
                          <w:r w:rsidR="00953619" w:rsidRPr="00953619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LOS RECURSOS HUMANOS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953619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953619">
                      <w:rPr>
                        <w:rFonts w:ascii="Arial" w:hAnsi="Arial" w:cs="Arial"/>
                        <w:b/>
                        <w:szCs w:val="24"/>
                      </w:rPr>
                      <w:t xml:space="preserve">BASES DE DATOS REFERENTE A </w:t>
                    </w:r>
                    <w:r w:rsidR="00953619" w:rsidRPr="00953619">
                      <w:rPr>
                        <w:rFonts w:ascii="Arial" w:hAnsi="Arial" w:cs="Arial"/>
                        <w:b/>
                        <w:szCs w:val="24"/>
                      </w:rPr>
                      <w:t>LOS RECURSOS HUMANOS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F2C56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13B41"/>
    <w:multiLevelType w:val="hybridMultilevel"/>
    <w:tmpl w:val="DF66F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805C6"/>
    <w:rsid w:val="00083D5D"/>
    <w:rsid w:val="000C51A9"/>
    <w:rsid w:val="000C5BB3"/>
    <w:rsid w:val="000C7C82"/>
    <w:rsid w:val="000F00BF"/>
    <w:rsid w:val="00104793"/>
    <w:rsid w:val="00124F6E"/>
    <w:rsid w:val="00136BA8"/>
    <w:rsid w:val="001414EA"/>
    <w:rsid w:val="00147160"/>
    <w:rsid w:val="00173171"/>
    <w:rsid w:val="00181445"/>
    <w:rsid w:val="001B09E4"/>
    <w:rsid w:val="00214250"/>
    <w:rsid w:val="002741D5"/>
    <w:rsid w:val="00281E9B"/>
    <w:rsid w:val="002A4848"/>
    <w:rsid w:val="002A49B9"/>
    <w:rsid w:val="002D42C1"/>
    <w:rsid w:val="002E0E00"/>
    <w:rsid w:val="00327758"/>
    <w:rsid w:val="00343504"/>
    <w:rsid w:val="003618B5"/>
    <w:rsid w:val="003630F4"/>
    <w:rsid w:val="003B073C"/>
    <w:rsid w:val="003B1532"/>
    <w:rsid w:val="003C1454"/>
    <w:rsid w:val="003E406E"/>
    <w:rsid w:val="003F088C"/>
    <w:rsid w:val="0041305C"/>
    <w:rsid w:val="004152D8"/>
    <w:rsid w:val="00420F2B"/>
    <w:rsid w:val="00433FA4"/>
    <w:rsid w:val="00446036"/>
    <w:rsid w:val="00466159"/>
    <w:rsid w:val="004A1760"/>
    <w:rsid w:val="004B4D2E"/>
    <w:rsid w:val="004C5A0D"/>
    <w:rsid w:val="004D3536"/>
    <w:rsid w:val="004E00F7"/>
    <w:rsid w:val="004E3343"/>
    <w:rsid w:val="004F2452"/>
    <w:rsid w:val="004F2B20"/>
    <w:rsid w:val="00512B85"/>
    <w:rsid w:val="00516E76"/>
    <w:rsid w:val="005367F9"/>
    <w:rsid w:val="00637475"/>
    <w:rsid w:val="00666685"/>
    <w:rsid w:val="0068217D"/>
    <w:rsid w:val="0068267B"/>
    <w:rsid w:val="006E0176"/>
    <w:rsid w:val="00703EF1"/>
    <w:rsid w:val="00713CD5"/>
    <w:rsid w:val="00733438"/>
    <w:rsid w:val="0075269D"/>
    <w:rsid w:val="0075410A"/>
    <w:rsid w:val="00770A39"/>
    <w:rsid w:val="00775D4A"/>
    <w:rsid w:val="00776F3B"/>
    <w:rsid w:val="00796A21"/>
    <w:rsid w:val="007C619D"/>
    <w:rsid w:val="007C74F5"/>
    <w:rsid w:val="007D75ED"/>
    <w:rsid w:val="007F1275"/>
    <w:rsid w:val="008025B8"/>
    <w:rsid w:val="00872AF5"/>
    <w:rsid w:val="008B11B8"/>
    <w:rsid w:val="008B7F94"/>
    <w:rsid w:val="008C04B9"/>
    <w:rsid w:val="008E4A1C"/>
    <w:rsid w:val="0092607A"/>
    <w:rsid w:val="00931FDD"/>
    <w:rsid w:val="009443EA"/>
    <w:rsid w:val="00947614"/>
    <w:rsid w:val="00947A6C"/>
    <w:rsid w:val="00953619"/>
    <w:rsid w:val="00957F93"/>
    <w:rsid w:val="00975EB0"/>
    <w:rsid w:val="00994158"/>
    <w:rsid w:val="009E1804"/>
    <w:rsid w:val="00A11B50"/>
    <w:rsid w:val="00A528CD"/>
    <w:rsid w:val="00A73D35"/>
    <w:rsid w:val="00A75C2A"/>
    <w:rsid w:val="00A952FD"/>
    <w:rsid w:val="00AF17BF"/>
    <w:rsid w:val="00B1408D"/>
    <w:rsid w:val="00B1432A"/>
    <w:rsid w:val="00B33BB2"/>
    <w:rsid w:val="00B469BC"/>
    <w:rsid w:val="00B81E93"/>
    <w:rsid w:val="00BB2967"/>
    <w:rsid w:val="00BF2C56"/>
    <w:rsid w:val="00C3339C"/>
    <w:rsid w:val="00C34D76"/>
    <w:rsid w:val="00C464F9"/>
    <w:rsid w:val="00C52D99"/>
    <w:rsid w:val="00C61DF5"/>
    <w:rsid w:val="00C64AA8"/>
    <w:rsid w:val="00C93260"/>
    <w:rsid w:val="00C94202"/>
    <w:rsid w:val="00CC6996"/>
    <w:rsid w:val="00D13BBA"/>
    <w:rsid w:val="00D5271B"/>
    <w:rsid w:val="00D54530"/>
    <w:rsid w:val="00D8375F"/>
    <w:rsid w:val="00D97090"/>
    <w:rsid w:val="00DA7A58"/>
    <w:rsid w:val="00DB037E"/>
    <w:rsid w:val="00DD276C"/>
    <w:rsid w:val="00DE608A"/>
    <w:rsid w:val="00E01826"/>
    <w:rsid w:val="00E12CCF"/>
    <w:rsid w:val="00E55633"/>
    <w:rsid w:val="00E55BD9"/>
    <w:rsid w:val="00E81C4D"/>
    <w:rsid w:val="00E824EC"/>
    <w:rsid w:val="00E85E17"/>
    <w:rsid w:val="00E87DBC"/>
    <w:rsid w:val="00E96B02"/>
    <w:rsid w:val="00EC422F"/>
    <w:rsid w:val="00EE4489"/>
    <w:rsid w:val="00EE6D9D"/>
    <w:rsid w:val="00F04502"/>
    <w:rsid w:val="00F050A2"/>
    <w:rsid w:val="00F24827"/>
    <w:rsid w:val="00F4541B"/>
    <w:rsid w:val="00FD4476"/>
    <w:rsid w:val="00FE6E2D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character" w:styleId="Refdecomentario">
    <w:name w:val="annotation reference"/>
    <w:basedOn w:val="Fuentedeprrafopredeter"/>
    <w:uiPriority w:val="99"/>
    <w:semiHidden/>
    <w:unhideWhenUsed/>
    <w:rsid w:val="003B15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15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15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15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153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53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66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6</Pages>
  <Words>2351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96</cp:revision>
  <dcterms:created xsi:type="dcterms:W3CDTF">2017-08-24T17:01:00Z</dcterms:created>
  <dcterms:modified xsi:type="dcterms:W3CDTF">2022-11-15T22:17:00Z</dcterms:modified>
</cp:coreProperties>
</file>