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14" w:rsidRPr="00B7446C" w:rsidRDefault="00947614" w:rsidP="00947614">
      <w:pPr>
        <w:rPr>
          <w:rFonts w:ascii="Arial" w:hAnsi="Arial" w:cs="Arial"/>
          <w:b/>
          <w:sz w:val="24"/>
        </w:rPr>
      </w:pPr>
      <w:r w:rsidRPr="00B7446C">
        <w:rPr>
          <w:rFonts w:ascii="Arial" w:hAnsi="Arial" w:cs="Arial"/>
          <w:b/>
          <w:sz w:val="24"/>
        </w:rPr>
        <w:t>1) Denominación y domicilio del responsable del tratamiento de los datos personales.</w:t>
      </w:r>
    </w:p>
    <w:p w:rsidR="00F4541B" w:rsidRDefault="00C52D99" w:rsidP="00C52D99">
      <w:pPr>
        <w:jc w:val="both"/>
        <w:rPr>
          <w:rFonts w:ascii="Arial" w:hAnsi="Arial" w:cs="Arial"/>
        </w:rPr>
      </w:pPr>
      <w:r w:rsidRPr="00947614">
        <w:rPr>
          <w:rFonts w:ascii="Arial" w:hAnsi="Arial" w:cs="Arial"/>
        </w:rPr>
        <w:t xml:space="preserve">El Instituto de Transparencia, Acceso a la Información Pública y Protección de Datos Personales del Estado de Puebla (ITAIPUE), con domicilio en Avenida 5 Oriente, número 201, Col. Centro, C.P. 72000, Puebla, es el responsable del tratamiento de los datos personales que se obtengan como consecuencia de la </w:t>
      </w:r>
      <w:r w:rsidR="00F4541B">
        <w:rPr>
          <w:rFonts w:ascii="Arial" w:hAnsi="Arial" w:cs="Arial"/>
        </w:rPr>
        <w:t>contratación</w:t>
      </w:r>
      <w:r w:rsidR="00F4541B" w:rsidRPr="00F4541B">
        <w:rPr>
          <w:rFonts w:ascii="Arial" w:hAnsi="Arial" w:cs="Arial"/>
        </w:rPr>
        <w:t xml:space="preserve"> en materia de adquisiciones, arrendamientos o servicios con proveedores (cuando éstos sean personas físicas)</w:t>
      </w:r>
      <w:r w:rsidR="00F4541B">
        <w:rPr>
          <w:rFonts w:ascii="Arial" w:hAnsi="Arial" w:cs="Arial"/>
        </w:rPr>
        <w:t>.</w:t>
      </w:r>
    </w:p>
    <w:p w:rsidR="00947614" w:rsidRPr="00373646" w:rsidRDefault="00947614" w:rsidP="00947614">
      <w:pPr>
        <w:jc w:val="both"/>
        <w:rPr>
          <w:rFonts w:ascii="Arial" w:hAnsi="Arial" w:cs="Arial"/>
          <w:b/>
          <w:sz w:val="24"/>
        </w:rPr>
      </w:pPr>
      <w:r w:rsidRPr="00373646">
        <w:rPr>
          <w:rFonts w:ascii="Arial" w:hAnsi="Arial" w:cs="Arial"/>
          <w:b/>
          <w:sz w:val="24"/>
        </w:rPr>
        <w:t>2) Finalidades del tratamiento de los datos personales.</w:t>
      </w:r>
    </w:p>
    <w:p w:rsidR="00D13BBA" w:rsidRPr="00931FDD" w:rsidRDefault="00D13BBA" w:rsidP="00A952FD">
      <w:pPr>
        <w:jc w:val="both"/>
        <w:rPr>
          <w:rFonts w:ascii="Arial" w:hAnsi="Arial" w:cs="Arial"/>
          <w:b/>
        </w:rPr>
      </w:pPr>
      <w:r w:rsidRPr="00931FDD">
        <w:rPr>
          <w:rFonts w:ascii="Arial" w:hAnsi="Arial" w:cs="Arial"/>
          <w:b/>
        </w:rPr>
        <w:t>2.1) Finalidad principal (no requiere consentimiento):</w:t>
      </w:r>
    </w:p>
    <w:p w:rsidR="003630F4" w:rsidRDefault="00A952FD" w:rsidP="00A952FD">
      <w:pPr>
        <w:jc w:val="both"/>
        <w:rPr>
          <w:rFonts w:ascii="Arial" w:hAnsi="Arial" w:cs="Arial"/>
        </w:rPr>
      </w:pPr>
      <w:r w:rsidRPr="00947614">
        <w:rPr>
          <w:rFonts w:ascii="Arial" w:hAnsi="Arial" w:cs="Arial"/>
        </w:rPr>
        <w:t xml:space="preserve">La finalidad </w:t>
      </w:r>
      <w:r w:rsidR="00D13BBA">
        <w:rPr>
          <w:rFonts w:ascii="Arial" w:hAnsi="Arial" w:cs="Arial"/>
        </w:rPr>
        <w:t xml:space="preserve">principal del tratamiento de los datos personales que se obtengan consiste en </w:t>
      </w:r>
      <w:r w:rsidR="003630F4">
        <w:rPr>
          <w:rFonts w:ascii="Arial" w:hAnsi="Arial" w:cs="Arial"/>
        </w:rPr>
        <w:t>r</w:t>
      </w:r>
      <w:r w:rsidR="003630F4" w:rsidRPr="003630F4">
        <w:rPr>
          <w:rFonts w:ascii="Arial" w:hAnsi="Arial" w:cs="Arial"/>
        </w:rPr>
        <w:t>ealizar el proceso de solicitud, en términos de la normativa aplicable vigente, para la compra de bienes y adquisición de servicios, ofrecidos por proveedores que sean personas físicas, así como la celebración de arrendamientos con personas físicas. Dicho proceso comprende la formulación de una solicitud por parte de un área administrativa, la comunicación con posibles proveedores, la integración de las propuestas realizadas por los proveedores (en su caso), la evaluación de dichas proposiciones (en su caso), la realización del pedido y/o suscripción del contrato, la realización del pago al proveedor, y la elaboración de documentación diversa para la ejecución de la operación.</w:t>
      </w:r>
    </w:p>
    <w:p w:rsidR="00D13BBA" w:rsidRPr="00931FDD" w:rsidRDefault="005367F9" w:rsidP="00A952FD">
      <w:pPr>
        <w:jc w:val="both"/>
        <w:rPr>
          <w:rFonts w:ascii="Arial" w:hAnsi="Arial" w:cs="Arial"/>
          <w:b/>
        </w:rPr>
      </w:pPr>
      <w:r>
        <w:rPr>
          <w:rFonts w:ascii="Arial" w:hAnsi="Arial" w:cs="Arial"/>
          <w:b/>
        </w:rPr>
        <w:t>2.2) Finalidad</w:t>
      </w:r>
      <w:r w:rsidR="00CC45CD">
        <w:rPr>
          <w:rFonts w:ascii="Arial" w:hAnsi="Arial" w:cs="Arial"/>
          <w:b/>
        </w:rPr>
        <w:t>es</w:t>
      </w:r>
      <w:r w:rsidR="00D13BBA" w:rsidRPr="00931FDD">
        <w:rPr>
          <w:rFonts w:ascii="Arial" w:hAnsi="Arial" w:cs="Arial"/>
          <w:b/>
        </w:rPr>
        <w:t xml:space="preserve"> acceso</w:t>
      </w:r>
      <w:r>
        <w:rPr>
          <w:rFonts w:ascii="Arial" w:hAnsi="Arial" w:cs="Arial"/>
          <w:b/>
        </w:rPr>
        <w:t>ria</w:t>
      </w:r>
      <w:r w:rsidR="00CC45CD">
        <w:rPr>
          <w:rFonts w:ascii="Arial" w:hAnsi="Arial" w:cs="Arial"/>
          <w:b/>
        </w:rPr>
        <w:t>s</w:t>
      </w:r>
      <w:r>
        <w:rPr>
          <w:rFonts w:ascii="Arial" w:hAnsi="Arial" w:cs="Arial"/>
          <w:b/>
        </w:rPr>
        <w:t xml:space="preserve"> (no requiere</w:t>
      </w:r>
      <w:r w:rsidR="00CC45CD">
        <w:rPr>
          <w:rFonts w:ascii="Arial" w:hAnsi="Arial" w:cs="Arial"/>
          <w:b/>
        </w:rPr>
        <w:t>n</w:t>
      </w:r>
      <w:r w:rsidR="00D13BBA" w:rsidRPr="00931FDD">
        <w:rPr>
          <w:rFonts w:ascii="Arial" w:hAnsi="Arial" w:cs="Arial"/>
          <w:b/>
        </w:rPr>
        <w:t xml:space="preserve"> consentimiento):</w:t>
      </w:r>
    </w:p>
    <w:p w:rsidR="004A1760" w:rsidRDefault="005367F9" w:rsidP="00A952FD">
      <w:pPr>
        <w:jc w:val="both"/>
        <w:rPr>
          <w:rFonts w:ascii="Arial" w:hAnsi="Arial" w:cs="Arial"/>
        </w:rPr>
      </w:pPr>
      <w:r>
        <w:rPr>
          <w:rFonts w:ascii="Arial" w:hAnsi="Arial" w:cs="Arial"/>
        </w:rPr>
        <w:t>La</w:t>
      </w:r>
      <w:r w:rsidR="004A1760">
        <w:rPr>
          <w:rFonts w:ascii="Arial" w:hAnsi="Arial" w:cs="Arial"/>
        </w:rPr>
        <w:t>s</w:t>
      </w:r>
      <w:r>
        <w:rPr>
          <w:rFonts w:ascii="Arial" w:hAnsi="Arial" w:cs="Arial"/>
        </w:rPr>
        <w:t xml:space="preserve"> finalidad</w:t>
      </w:r>
      <w:r w:rsidR="004A1760">
        <w:rPr>
          <w:rFonts w:ascii="Arial" w:hAnsi="Arial" w:cs="Arial"/>
        </w:rPr>
        <w:t>es</w:t>
      </w:r>
      <w:r>
        <w:rPr>
          <w:rFonts w:ascii="Arial" w:hAnsi="Arial" w:cs="Arial"/>
        </w:rPr>
        <w:t xml:space="preserve"> accesoria</w:t>
      </w:r>
      <w:r w:rsidR="004A1760">
        <w:rPr>
          <w:rFonts w:ascii="Arial" w:hAnsi="Arial" w:cs="Arial"/>
        </w:rPr>
        <w:t>s</w:t>
      </w:r>
      <w:r>
        <w:rPr>
          <w:rFonts w:ascii="Arial" w:hAnsi="Arial" w:cs="Arial"/>
        </w:rPr>
        <w:t>, que no requiere</w:t>
      </w:r>
      <w:r w:rsidR="004A1760">
        <w:rPr>
          <w:rFonts w:ascii="Arial" w:hAnsi="Arial" w:cs="Arial"/>
        </w:rPr>
        <w:t>n</w:t>
      </w:r>
      <w:r>
        <w:rPr>
          <w:rFonts w:ascii="Arial" w:hAnsi="Arial" w:cs="Arial"/>
        </w:rPr>
        <w:t xml:space="preserve"> de consentimiento, consiste</w:t>
      </w:r>
      <w:r w:rsidR="004A1760">
        <w:rPr>
          <w:rFonts w:ascii="Arial" w:hAnsi="Arial" w:cs="Arial"/>
        </w:rPr>
        <w:t>n</w:t>
      </w:r>
      <w:r>
        <w:rPr>
          <w:rFonts w:ascii="Arial" w:hAnsi="Arial" w:cs="Arial"/>
        </w:rPr>
        <w:t xml:space="preserve"> en</w:t>
      </w:r>
      <w:r w:rsidR="004A1760">
        <w:rPr>
          <w:rFonts w:ascii="Arial" w:hAnsi="Arial" w:cs="Arial"/>
        </w:rPr>
        <w:t>, por una parte,</w:t>
      </w:r>
      <w:r>
        <w:rPr>
          <w:rFonts w:ascii="Arial" w:hAnsi="Arial" w:cs="Arial"/>
        </w:rPr>
        <w:t xml:space="preserve"> </w:t>
      </w:r>
      <w:r w:rsidR="004A1760">
        <w:rPr>
          <w:rFonts w:ascii="Arial" w:hAnsi="Arial" w:cs="Arial"/>
        </w:rPr>
        <w:t>r</w:t>
      </w:r>
      <w:r w:rsidR="004A1760" w:rsidRPr="004A1760">
        <w:rPr>
          <w:rFonts w:ascii="Arial" w:hAnsi="Arial" w:cs="Arial"/>
        </w:rPr>
        <w:t>ealizar actividades de fiscalización y de auditoría interna o externa, y, eventualmente, afincamiento de responsabilidades y atención de asuntos contenciosos,</w:t>
      </w:r>
      <w:r w:rsidR="004A1760">
        <w:rPr>
          <w:rFonts w:ascii="Arial" w:hAnsi="Arial" w:cs="Arial"/>
        </w:rPr>
        <w:t xml:space="preserve"> administrativos y/o judiciales, y por otra parte, p</w:t>
      </w:r>
      <w:r w:rsidR="004A1760" w:rsidRPr="004A1760">
        <w:rPr>
          <w:rFonts w:ascii="Arial" w:hAnsi="Arial" w:cs="Arial"/>
        </w:rPr>
        <w:t>ublicar la información de los resultados sobre procedimientos de adjudicación directa, invitación restringida y licitación de cualquier naturaleza, la versión pública del expediente respectivo y los contratos celebrados, así como el padró</w:t>
      </w:r>
      <w:r w:rsidR="00E67C5C">
        <w:rPr>
          <w:rFonts w:ascii="Arial" w:hAnsi="Arial" w:cs="Arial"/>
        </w:rPr>
        <w:t>n de proveedores y contratistas</w:t>
      </w:r>
      <w:r w:rsidR="004A1760">
        <w:rPr>
          <w:rFonts w:ascii="Arial" w:hAnsi="Arial" w:cs="Arial"/>
        </w:rPr>
        <w:t xml:space="preserve">, en cumplimiento </w:t>
      </w:r>
      <w:r w:rsidR="004A1760" w:rsidRPr="004A1760">
        <w:rPr>
          <w:rFonts w:ascii="Arial" w:hAnsi="Arial" w:cs="Arial"/>
        </w:rPr>
        <w:t>de las obligaciones de transparencia correspondientes.</w:t>
      </w:r>
      <w:bookmarkStart w:id="0" w:name="_GoBack"/>
      <w:bookmarkEnd w:id="0"/>
    </w:p>
    <w:p w:rsidR="005367F9" w:rsidRPr="00931FDD" w:rsidRDefault="002D42C1" w:rsidP="005367F9">
      <w:pPr>
        <w:jc w:val="both"/>
        <w:rPr>
          <w:rFonts w:ascii="Arial" w:hAnsi="Arial" w:cs="Arial"/>
          <w:b/>
        </w:rPr>
      </w:pPr>
      <w:r>
        <w:rPr>
          <w:rFonts w:ascii="Arial" w:hAnsi="Arial" w:cs="Arial"/>
          <w:b/>
        </w:rPr>
        <w:t>2.3</w:t>
      </w:r>
      <w:r w:rsidR="005367F9">
        <w:rPr>
          <w:rFonts w:ascii="Arial" w:hAnsi="Arial" w:cs="Arial"/>
          <w:b/>
        </w:rPr>
        <w:t>) Finalidad</w:t>
      </w:r>
      <w:r w:rsidR="005367F9" w:rsidRPr="00931FDD">
        <w:rPr>
          <w:rFonts w:ascii="Arial" w:hAnsi="Arial" w:cs="Arial"/>
          <w:b/>
        </w:rPr>
        <w:t xml:space="preserve"> acceso</w:t>
      </w:r>
      <w:r w:rsidR="005367F9">
        <w:rPr>
          <w:rFonts w:ascii="Arial" w:hAnsi="Arial" w:cs="Arial"/>
          <w:b/>
        </w:rPr>
        <w:t>ria (</w:t>
      </w:r>
      <w:r>
        <w:rPr>
          <w:rFonts w:ascii="Arial" w:hAnsi="Arial" w:cs="Arial"/>
          <w:b/>
        </w:rPr>
        <w:t>sí</w:t>
      </w:r>
      <w:r w:rsidR="005367F9">
        <w:rPr>
          <w:rFonts w:ascii="Arial" w:hAnsi="Arial" w:cs="Arial"/>
          <w:b/>
        </w:rPr>
        <w:t xml:space="preserve"> requiere</w:t>
      </w:r>
      <w:r w:rsidR="005367F9" w:rsidRPr="00931FDD">
        <w:rPr>
          <w:rFonts w:ascii="Arial" w:hAnsi="Arial" w:cs="Arial"/>
          <w:b/>
        </w:rPr>
        <w:t xml:space="preserve"> consentimiento):</w:t>
      </w:r>
    </w:p>
    <w:p w:rsidR="005367F9" w:rsidRDefault="002D42C1" w:rsidP="00A952FD">
      <w:pPr>
        <w:jc w:val="both"/>
        <w:rPr>
          <w:rFonts w:ascii="Arial" w:hAnsi="Arial" w:cs="Arial"/>
        </w:rPr>
      </w:pPr>
      <w:r>
        <w:rPr>
          <w:rFonts w:ascii="Arial" w:hAnsi="Arial" w:cs="Arial"/>
        </w:rPr>
        <w:t>La finalidad accesoria del tratamiento de los datos personales, que sí requiere consentimiento, consiste en p</w:t>
      </w:r>
      <w:r w:rsidRPr="00630A74">
        <w:rPr>
          <w:rFonts w:ascii="Arial" w:hAnsi="Arial" w:cs="Arial"/>
        </w:rPr>
        <w:t>roporcionar los datos personales en respuesta a una solicitud de acceso a la información pública, previa autorización del titular, de conformidad con los artículos 136 y 137 de la Ley de Transparencia y Acceso a la Información Pública del Estado de Puebla</w:t>
      </w:r>
      <w:r w:rsidR="004A1760">
        <w:rPr>
          <w:rFonts w:ascii="Arial" w:hAnsi="Arial" w:cs="Arial"/>
        </w:rPr>
        <w:t xml:space="preserve"> (sólo respecto de aquellos datos personales que no se prevea su publicación, de acuerdo a la normativa aplicable, en materia de publicación de obligaciones de transparencia)</w:t>
      </w:r>
      <w:r>
        <w:rPr>
          <w:rFonts w:ascii="Arial" w:hAnsi="Arial" w:cs="Arial"/>
        </w:rPr>
        <w:t>.</w:t>
      </w:r>
    </w:p>
    <w:p w:rsidR="00947614" w:rsidRPr="00945C23" w:rsidRDefault="00947614" w:rsidP="00947614">
      <w:pPr>
        <w:jc w:val="both"/>
        <w:rPr>
          <w:rFonts w:ascii="Arial" w:hAnsi="Arial" w:cs="Arial"/>
          <w:b/>
          <w:sz w:val="24"/>
        </w:rPr>
      </w:pPr>
      <w:r w:rsidRPr="00945C23">
        <w:rPr>
          <w:rFonts w:ascii="Arial" w:hAnsi="Arial" w:cs="Arial"/>
          <w:b/>
          <w:sz w:val="24"/>
        </w:rPr>
        <w:lastRenderedPageBreak/>
        <w:t>3) Datos personales sometidos a tratamiento.</w:t>
      </w:r>
    </w:p>
    <w:p w:rsidR="004A1760" w:rsidRDefault="00947614" w:rsidP="00947614">
      <w:pPr>
        <w:jc w:val="both"/>
        <w:rPr>
          <w:rFonts w:ascii="Arial" w:hAnsi="Arial" w:cs="Arial"/>
        </w:rPr>
      </w:pPr>
      <w:r w:rsidRPr="00947614">
        <w:rPr>
          <w:rFonts w:ascii="Arial" w:hAnsi="Arial" w:cs="Arial"/>
        </w:rPr>
        <w:t>Los datos personales</w:t>
      </w:r>
      <w:r w:rsidR="002D42C1">
        <w:rPr>
          <w:rFonts w:ascii="Arial" w:hAnsi="Arial" w:cs="Arial"/>
        </w:rPr>
        <w:t xml:space="preserve"> del </w:t>
      </w:r>
      <w:r w:rsidR="004A1760">
        <w:rPr>
          <w:rFonts w:ascii="Arial" w:hAnsi="Arial" w:cs="Arial"/>
        </w:rPr>
        <w:t>proveedor</w:t>
      </w:r>
      <w:r w:rsidRPr="00947614">
        <w:rPr>
          <w:rFonts w:ascii="Arial" w:hAnsi="Arial" w:cs="Arial"/>
        </w:rPr>
        <w:t xml:space="preserve"> que serán sometidos a tratamiento consisten en: </w:t>
      </w:r>
      <w:r w:rsidR="004A1760">
        <w:rPr>
          <w:rFonts w:ascii="Arial" w:hAnsi="Arial" w:cs="Arial"/>
        </w:rPr>
        <w:t>nombre, domicilio fiscal, nacionalidad, rúbrica y/o firma autógrafa, número de cuenta bancaria, número de teléfono, correo electrónico, a</w:t>
      </w:r>
      <w:r w:rsidR="004A1760" w:rsidRPr="004A1760">
        <w:rPr>
          <w:rFonts w:ascii="Arial" w:hAnsi="Arial" w:cs="Arial"/>
        </w:rPr>
        <w:t>ctividad económica en la que se desempeña (giro comercial)</w:t>
      </w:r>
      <w:r w:rsidR="004A1760">
        <w:rPr>
          <w:rFonts w:ascii="Arial" w:hAnsi="Arial" w:cs="Arial"/>
        </w:rPr>
        <w:t>, n</w:t>
      </w:r>
      <w:r w:rsidR="004A1760" w:rsidRPr="004A1760">
        <w:rPr>
          <w:rFonts w:ascii="Arial" w:hAnsi="Arial" w:cs="Arial"/>
        </w:rPr>
        <w:t>úmero de Registro Federal de Contribuyentes (RFC)</w:t>
      </w:r>
      <w:r w:rsidR="004A1760">
        <w:rPr>
          <w:rFonts w:ascii="Arial" w:hAnsi="Arial" w:cs="Arial"/>
        </w:rPr>
        <w:t>, d</w:t>
      </w:r>
      <w:r w:rsidR="004A1760" w:rsidRPr="004A1760">
        <w:rPr>
          <w:rFonts w:ascii="Arial" w:hAnsi="Arial" w:cs="Arial"/>
        </w:rPr>
        <w:t>atos personales contenidos en copia de comprobante de domicilio</w:t>
      </w:r>
      <w:r w:rsidR="004A1760">
        <w:rPr>
          <w:rFonts w:ascii="Arial" w:hAnsi="Arial" w:cs="Arial"/>
        </w:rPr>
        <w:t xml:space="preserve"> y d</w:t>
      </w:r>
      <w:r w:rsidR="004A1760" w:rsidRPr="004A1760">
        <w:rPr>
          <w:rFonts w:ascii="Arial" w:hAnsi="Arial" w:cs="Arial"/>
        </w:rPr>
        <w:t>atos personales contenidos en copia de identificación oficial</w:t>
      </w:r>
      <w:r w:rsidR="004A1760">
        <w:rPr>
          <w:rFonts w:ascii="Arial" w:hAnsi="Arial" w:cs="Arial"/>
        </w:rPr>
        <w:t>.</w:t>
      </w:r>
    </w:p>
    <w:p w:rsidR="004A1760" w:rsidRDefault="00E12CCF" w:rsidP="00947614">
      <w:pPr>
        <w:jc w:val="both"/>
        <w:rPr>
          <w:rFonts w:ascii="Arial" w:hAnsi="Arial" w:cs="Arial"/>
        </w:rPr>
      </w:pPr>
      <w:r>
        <w:rPr>
          <w:rFonts w:ascii="Arial" w:hAnsi="Arial" w:cs="Arial"/>
        </w:rPr>
        <w:t>En su caso, los datos personales del representante legal del proveedor que serán sometidos a tratamiento consisten en: nombre, número de teléfono, correo electrónico, r</w:t>
      </w:r>
      <w:r w:rsidRPr="00E12CCF">
        <w:rPr>
          <w:rFonts w:ascii="Arial" w:hAnsi="Arial" w:cs="Arial"/>
        </w:rPr>
        <w:t>úbrica y/o firma autógrafa</w:t>
      </w:r>
      <w:r>
        <w:rPr>
          <w:rFonts w:ascii="Arial" w:hAnsi="Arial" w:cs="Arial"/>
        </w:rPr>
        <w:t xml:space="preserve"> y d</w:t>
      </w:r>
      <w:r w:rsidRPr="00E12CCF">
        <w:rPr>
          <w:rFonts w:ascii="Arial" w:hAnsi="Arial" w:cs="Arial"/>
        </w:rPr>
        <w:t>atos personales contenidos en copia de identificación oficial</w:t>
      </w:r>
      <w:r>
        <w:rPr>
          <w:rFonts w:ascii="Arial" w:hAnsi="Arial" w:cs="Arial"/>
        </w:rPr>
        <w:t>.</w:t>
      </w:r>
    </w:p>
    <w:p w:rsidR="00947614" w:rsidRPr="00CB6266" w:rsidRDefault="00947614" w:rsidP="00947614">
      <w:pPr>
        <w:jc w:val="both"/>
        <w:rPr>
          <w:rFonts w:ascii="Arial" w:hAnsi="Arial" w:cs="Arial"/>
          <w:b/>
          <w:sz w:val="24"/>
        </w:rPr>
      </w:pPr>
      <w:r w:rsidRPr="00CB6266">
        <w:rPr>
          <w:rFonts w:ascii="Arial" w:hAnsi="Arial" w:cs="Arial"/>
          <w:b/>
          <w:sz w:val="24"/>
        </w:rPr>
        <w:t>4) Transferencias de datos personales.</w:t>
      </w:r>
    </w:p>
    <w:p w:rsidR="00796A21" w:rsidRDefault="003618B5" w:rsidP="003618B5">
      <w:pPr>
        <w:jc w:val="both"/>
        <w:rPr>
          <w:rFonts w:ascii="Arial" w:hAnsi="Arial" w:cs="Arial"/>
        </w:rPr>
      </w:pPr>
      <w:r w:rsidRPr="000478BA">
        <w:rPr>
          <w:rFonts w:ascii="Arial" w:hAnsi="Arial" w:cs="Arial"/>
        </w:rPr>
        <w:t xml:space="preserve">Los datos personales recabados </w:t>
      </w:r>
      <w:r w:rsidR="00796A21">
        <w:rPr>
          <w:rFonts w:ascii="Arial" w:hAnsi="Arial" w:cs="Arial"/>
        </w:rPr>
        <w:t xml:space="preserve">podrán ser </w:t>
      </w:r>
      <w:r w:rsidRPr="000478BA">
        <w:rPr>
          <w:rFonts w:ascii="Arial" w:hAnsi="Arial" w:cs="Arial"/>
        </w:rPr>
        <w:t>obje</w:t>
      </w:r>
      <w:r>
        <w:rPr>
          <w:rFonts w:ascii="Arial" w:hAnsi="Arial" w:cs="Arial"/>
        </w:rPr>
        <w:t xml:space="preserve">to de transferencias </w:t>
      </w:r>
      <w:r w:rsidR="00796A21">
        <w:rPr>
          <w:rFonts w:ascii="Arial" w:hAnsi="Arial" w:cs="Arial"/>
        </w:rPr>
        <w:t xml:space="preserve">a la Auditoría Superior del Estado de Puebla y a auditores externos, en caso de que se practique alguna revisión que tenga por objeto la documentación e información referente a los </w:t>
      </w:r>
      <w:r w:rsidR="00796A21" w:rsidRPr="00796A21">
        <w:rPr>
          <w:rFonts w:ascii="Arial" w:hAnsi="Arial" w:cs="Arial"/>
        </w:rPr>
        <w:t>procedimientos de adjudicación directa, invitación restringida y licitación</w:t>
      </w:r>
      <w:r w:rsidR="00796A21">
        <w:rPr>
          <w:rFonts w:ascii="Arial" w:hAnsi="Arial" w:cs="Arial"/>
        </w:rPr>
        <w:t>; lo anterior, en c</w:t>
      </w:r>
      <w:r w:rsidR="00796A21" w:rsidRPr="00796A21">
        <w:rPr>
          <w:rFonts w:ascii="Arial" w:hAnsi="Arial" w:cs="Arial"/>
        </w:rPr>
        <w:t>umplimiento de disposiciones y obligaciones legales, en materia de rendición de cuentas, fiscalización y auditoría. En caso de alguna revisión, se deberá facilitar la información solicitada por el ente fiscalizador, lo cual podrá basarse en muestras aleatorias.</w:t>
      </w:r>
      <w:r w:rsidR="00796A21">
        <w:rPr>
          <w:rFonts w:ascii="Arial" w:hAnsi="Arial" w:cs="Arial"/>
        </w:rPr>
        <w:t xml:space="preserve"> En ese sentido, las transferencias que puedan llegar a realizarse no requieren consentimiento, </w:t>
      </w:r>
      <w:r w:rsidR="00796A21" w:rsidRPr="00796A21">
        <w:rPr>
          <w:rFonts w:ascii="Arial" w:hAnsi="Arial" w:cs="Arial"/>
        </w:rPr>
        <w:t>en términos del artículo 94 de la Ley de Protección de Datos Personales en Posesión de Sujetos Obligados del Estado de Puebla</w:t>
      </w:r>
      <w:r w:rsidR="00B469BC">
        <w:rPr>
          <w:rFonts w:ascii="Arial" w:hAnsi="Arial" w:cs="Arial"/>
        </w:rPr>
        <w:t>.</w:t>
      </w:r>
    </w:p>
    <w:p w:rsidR="0092607A" w:rsidRPr="00BF4CD4" w:rsidRDefault="0092607A" w:rsidP="0092607A">
      <w:pPr>
        <w:jc w:val="both"/>
        <w:rPr>
          <w:rFonts w:ascii="Arial" w:hAnsi="Arial" w:cs="Arial"/>
          <w:b/>
          <w:sz w:val="24"/>
        </w:rPr>
      </w:pPr>
      <w:r w:rsidRPr="00E824EC">
        <w:rPr>
          <w:rFonts w:ascii="Arial" w:hAnsi="Arial" w:cs="Arial"/>
          <w:b/>
          <w:sz w:val="24"/>
        </w:rPr>
        <w:t>5) Fundamento legal.</w:t>
      </w:r>
    </w:p>
    <w:p w:rsidR="009443EA" w:rsidRPr="00064842" w:rsidRDefault="009443EA" w:rsidP="009443EA">
      <w:pPr>
        <w:jc w:val="both"/>
        <w:rPr>
          <w:rFonts w:ascii="Arial" w:hAnsi="Arial" w:cs="Arial"/>
          <w:b/>
        </w:rPr>
      </w:pPr>
      <w:r w:rsidRPr="00064842">
        <w:rPr>
          <w:rFonts w:ascii="Arial" w:hAnsi="Arial" w:cs="Arial"/>
          <w:b/>
        </w:rPr>
        <w:t>5.1) Fundamento legal para llevar a cabo el tratamiento de datos personales:</w:t>
      </w:r>
    </w:p>
    <w:p w:rsidR="003B073C" w:rsidRDefault="0092607A" w:rsidP="0092607A">
      <w:pPr>
        <w:jc w:val="both"/>
        <w:rPr>
          <w:rFonts w:ascii="Arial" w:hAnsi="Arial" w:cs="Arial"/>
        </w:rPr>
      </w:pPr>
      <w:r w:rsidRPr="0092607A">
        <w:rPr>
          <w:rFonts w:ascii="Arial" w:hAnsi="Arial" w:cs="Arial"/>
        </w:rPr>
        <w:t>El fundamento legal que faculta al ITAIPUE para llevar a cabo el presente tratamiento de</w:t>
      </w:r>
      <w:r>
        <w:rPr>
          <w:rFonts w:ascii="Arial" w:hAnsi="Arial" w:cs="Arial"/>
        </w:rPr>
        <w:t xml:space="preserve"> datos personales</w:t>
      </w:r>
      <w:r w:rsidR="003B073C">
        <w:rPr>
          <w:rFonts w:ascii="Arial" w:hAnsi="Arial" w:cs="Arial"/>
        </w:rPr>
        <w:t>, en cuanto a su finalidad principal,</w:t>
      </w:r>
      <w:r>
        <w:rPr>
          <w:rFonts w:ascii="Arial" w:hAnsi="Arial" w:cs="Arial"/>
        </w:rPr>
        <w:t xml:space="preserve"> se encuentra en los artículos </w:t>
      </w:r>
      <w:r w:rsidR="003B073C" w:rsidRPr="003B073C">
        <w:rPr>
          <w:rFonts w:ascii="Arial" w:hAnsi="Arial" w:cs="Arial"/>
        </w:rPr>
        <w:t xml:space="preserve">134 de la Constitución Política de los Estados Unidos Mexicanos; 108 de la Constitución Política del Estado Libre y Soberano de Puebla; 23, 37, 39, fracción XXXIX, de la Ley de Transparencia y Acceso a la Información Pública del Estado de Puebla; 70 de la </w:t>
      </w:r>
      <w:r w:rsidR="00872AF5" w:rsidRPr="00872AF5">
        <w:rPr>
          <w:rFonts w:ascii="Arial" w:hAnsi="Arial" w:cs="Arial"/>
        </w:rPr>
        <w:t>Ley de Presupuesto y Gasto Público Responsable del Estado de Puebla</w:t>
      </w:r>
      <w:r w:rsidR="003B073C" w:rsidRPr="003B073C">
        <w:rPr>
          <w:rFonts w:ascii="Arial" w:hAnsi="Arial" w:cs="Arial"/>
        </w:rPr>
        <w:t xml:space="preserve">; 1, 3, 22, 37, 38 y 39 de la </w:t>
      </w:r>
      <w:r w:rsidR="00872AF5" w:rsidRPr="00872AF5">
        <w:rPr>
          <w:rFonts w:ascii="Arial" w:hAnsi="Arial" w:cs="Arial"/>
        </w:rPr>
        <w:t>Ley de Fiscalización Superior y Rendición de Cuentas para el Estado de Puebla</w:t>
      </w:r>
      <w:r w:rsidR="003B073C" w:rsidRPr="003B073C">
        <w:rPr>
          <w:rFonts w:ascii="Arial" w:hAnsi="Arial" w:cs="Arial"/>
        </w:rPr>
        <w:t xml:space="preserve">; 15, 16 y 24 de la </w:t>
      </w:r>
      <w:r w:rsidR="00872AF5" w:rsidRPr="00872AF5">
        <w:rPr>
          <w:rFonts w:ascii="Arial" w:hAnsi="Arial" w:cs="Arial"/>
        </w:rPr>
        <w:t>Ley de Adquisiciones, Arrendamientos y Servicios del Sector Público Estatal y Municipal</w:t>
      </w:r>
      <w:r w:rsidR="003B073C" w:rsidRPr="003B073C">
        <w:rPr>
          <w:rFonts w:ascii="Arial" w:hAnsi="Arial" w:cs="Arial"/>
        </w:rPr>
        <w:t xml:space="preserve">; 18, fracciones V y XII, y 24 bis, fracciones XIV y XV, del </w:t>
      </w:r>
      <w:r w:rsidR="00872AF5" w:rsidRPr="00872AF5">
        <w:rPr>
          <w:rFonts w:ascii="Arial" w:hAnsi="Arial" w:cs="Arial"/>
        </w:rPr>
        <w:t>Reglamento Interior del Instituto de Transparencia, Acceso a la Información Pública y Protección de Datos Personales del Estado de Puebla</w:t>
      </w:r>
      <w:r w:rsidR="003B073C" w:rsidRPr="003B073C">
        <w:rPr>
          <w:rFonts w:ascii="Arial" w:hAnsi="Arial" w:cs="Arial"/>
        </w:rPr>
        <w:t>.</w:t>
      </w:r>
    </w:p>
    <w:p w:rsidR="00872AF5" w:rsidRDefault="00872AF5" w:rsidP="0092607A">
      <w:pPr>
        <w:jc w:val="both"/>
        <w:rPr>
          <w:rFonts w:ascii="Arial" w:hAnsi="Arial" w:cs="Arial"/>
        </w:rPr>
      </w:pPr>
      <w:r>
        <w:rPr>
          <w:rFonts w:ascii="Arial" w:hAnsi="Arial" w:cs="Arial"/>
        </w:rPr>
        <w:lastRenderedPageBreak/>
        <w:t>Por su parte, e</w:t>
      </w:r>
      <w:r w:rsidRPr="00872AF5">
        <w:rPr>
          <w:rFonts w:ascii="Arial" w:hAnsi="Arial" w:cs="Arial"/>
        </w:rPr>
        <w:t>l fundamento legal que faculta al ITAIPUE para llevar a cabo el presente tratamiento de datos personales, en cuanto a su</w:t>
      </w:r>
      <w:r>
        <w:rPr>
          <w:rFonts w:ascii="Arial" w:hAnsi="Arial" w:cs="Arial"/>
        </w:rPr>
        <w:t>s</w:t>
      </w:r>
      <w:r w:rsidRPr="00872AF5">
        <w:rPr>
          <w:rFonts w:ascii="Arial" w:hAnsi="Arial" w:cs="Arial"/>
        </w:rPr>
        <w:t xml:space="preserve"> finalidad</w:t>
      </w:r>
      <w:r>
        <w:rPr>
          <w:rFonts w:ascii="Arial" w:hAnsi="Arial" w:cs="Arial"/>
        </w:rPr>
        <w:t>es</w:t>
      </w:r>
      <w:r w:rsidRPr="00872AF5">
        <w:rPr>
          <w:rFonts w:ascii="Arial" w:hAnsi="Arial" w:cs="Arial"/>
        </w:rPr>
        <w:t xml:space="preserve"> </w:t>
      </w:r>
      <w:r>
        <w:rPr>
          <w:rFonts w:ascii="Arial" w:hAnsi="Arial" w:cs="Arial"/>
        </w:rPr>
        <w:t>accesorias</w:t>
      </w:r>
      <w:r w:rsidRPr="00872AF5">
        <w:rPr>
          <w:rFonts w:ascii="Arial" w:hAnsi="Arial" w:cs="Arial"/>
        </w:rPr>
        <w:t>, se encuentra en los artículos</w:t>
      </w:r>
      <w:r>
        <w:rPr>
          <w:rFonts w:ascii="Arial" w:hAnsi="Arial" w:cs="Arial"/>
        </w:rPr>
        <w:t xml:space="preserve"> siguientes:</w:t>
      </w:r>
    </w:p>
    <w:tbl>
      <w:tblPr>
        <w:tblW w:w="8931" w:type="dxa"/>
        <w:tblLayout w:type="fixed"/>
        <w:tblCellMar>
          <w:left w:w="70" w:type="dxa"/>
          <w:right w:w="70" w:type="dxa"/>
        </w:tblCellMar>
        <w:tblLook w:val="04A0" w:firstRow="1" w:lastRow="0" w:firstColumn="1" w:lastColumn="0" w:noHBand="0" w:noVBand="1"/>
      </w:tblPr>
      <w:tblGrid>
        <w:gridCol w:w="3686"/>
        <w:gridCol w:w="5245"/>
      </w:tblGrid>
      <w:tr w:rsidR="00872AF5" w:rsidRPr="00872AF5" w:rsidTr="003B1532">
        <w:trPr>
          <w:trHeight w:val="567"/>
        </w:trPr>
        <w:tc>
          <w:tcPr>
            <w:tcW w:w="3686" w:type="dxa"/>
            <w:tcBorders>
              <w:top w:val="nil"/>
              <w:left w:val="nil"/>
              <w:bottom w:val="nil"/>
              <w:right w:val="nil"/>
            </w:tcBorders>
            <w:shd w:val="clear" w:color="000000" w:fill="ACBECB"/>
            <w:noWrap/>
            <w:vAlign w:val="center"/>
            <w:hideMark/>
          </w:tcPr>
          <w:p w:rsidR="00872AF5" w:rsidRPr="00872AF5" w:rsidRDefault="00872AF5" w:rsidP="00872AF5">
            <w:pPr>
              <w:spacing w:after="0" w:line="240" w:lineRule="auto"/>
              <w:jc w:val="center"/>
              <w:rPr>
                <w:rFonts w:ascii="Arial" w:eastAsia="Times New Roman" w:hAnsi="Arial" w:cs="Arial"/>
                <w:b/>
                <w:bCs/>
                <w:color w:val="000000"/>
                <w:sz w:val="20"/>
                <w:szCs w:val="20"/>
                <w:lang w:eastAsia="es-MX"/>
              </w:rPr>
            </w:pPr>
            <w:r w:rsidRPr="00872AF5">
              <w:rPr>
                <w:rFonts w:ascii="Arial" w:eastAsia="Times New Roman" w:hAnsi="Arial" w:cs="Arial"/>
                <w:b/>
                <w:bCs/>
                <w:color w:val="000000"/>
                <w:sz w:val="20"/>
                <w:szCs w:val="20"/>
                <w:lang w:eastAsia="es-MX"/>
              </w:rPr>
              <w:t>Finalidad:</w:t>
            </w:r>
          </w:p>
        </w:tc>
        <w:tc>
          <w:tcPr>
            <w:tcW w:w="5245" w:type="dxa"/>
            <w:tcBorders>
              <w:top w:val="nil"/>
              <w:left w:val="nil"/>
              <w:bottom w:val="nil"/>
              <w:right w:val="nil"/>
            </w:tcBorders>
            <w:shd w:val="clear" w:color="000000" w:fill="ACBECB"/>
            <w:noWrap/>
            <w:vAlign w:val="center"/>
            <w:hideMark/>
          </w:tcPr>
          <w:p w:rsidR="00872AF5" w:rsidRPr="00872AF5" w:rsidRDefault="00872AF5" w:rsidP="00872AF5">
            <w:pPr>
              <w:spacing w:after="0" w:line="240" w:lineRule="auto"/>
              <w:jc w:val="center"/>
              <w:rPr>
                <w:rFonts w:ascii="Arial" w:eastAsia="Times New Roman" w:hAnsi="Arial" w:cs="Arial"/>
                <w:b/>
                <w:bCs/>
                <w:color w:val="000000"/>
                <w:sz w:val="20"/>
                <w:szCs w:val="20"/>
                <w:lang w:eastAsia="es-MX"/>
              </w:rPr>
            </w:pPr>
            <w:r w:rsidRPr="00872AF5">
              <w:rPr>
                <w:rFonts w:ascii="Arial" w:eastAsia="Times New Roman" w:hAnsi="Arial" w:cs="Arial"/>
                <w:b/>
                <w:bCs/>
                <w:color w:val="000000"/>
                <w:sz w:val="20"/>
                <w:szCs w:val="20"/>
                <w:lang w:eastAsia="es-MX"/>
              </w:rPr>
              <w:t>Fundamento legal</w:t>
            </w:r>
          </w:p>
        </w:tc>
      </w:tr>
      <w:tr w:rsidR="00872AF5" w:rsidRPr="00872AF5" w:rsidTr="00770A39">
        <w:trPr>
          <w:trHeight w:val="1701"/>
        </w:trPr>
        <w:tc>
          <w:tcPr>
            <w:tcW w:w="3686" w:type="dxa"/>
            <w:vMerge w:val="restart"/>
            <w:tcBorders>
              <w:top w:val="nil"/>
              <w:left w:val="nil"/>
              <w:bottom w:val="nil"/>
              <w:right w:val="nil"/>
            </w:tcBorders>
            <w:shd w:val="clear" w:color="000000" w:fill="D3D4D6"/>
            <w:tcMar>
              <w:top w:w="57" w:type="dxa"/>
              <w:bottom w:w="57" w:type="dxa"/>
            </w:tcMar>
            <w:vAlign w:val="center"/>
            <w:hideMark/>
          </w:tcPr>
          <w:p w:rsidR="00872AF5" w:rsidRPr="00872AF5" w:rsidRDefault="00872AF5" w:rsidP="003B1532">
            <w:pPr>
              <w:spacing w:after="0" w:line="240" w:lineRule="auto"/>
              <w:jc w:val="both"/>
              <w:rPr>
                <w:rFonts w:ascii="Arial" w:eastAsia="Times New Roman" w:hAnsi="Arial" w:cs="Arial"/>
                <w:color w:val="000000"/>
                <w:sz w:val="20"/>
                <w:szCs w:val="20"/>
                <w:lang w:eastAsia="es-MX"/>
              </w:rPr>
            </w:pPr>
            <w:r w:rsidRPr="00872AF5">
              <w:rPr>
                <w:rFonts w:ascii="Arial" w:eastAsia="Times New Roman" w:hAnsi="Arial" w:cs="Arial"/>
                <w:color w:val="000000"/>
                <w:sz w:val="20"/>
                <w:szCs w:val="20"/>
                <w:lang w:eastAsia="es-MX"/>
              </w:rPr>
              <w:t>Realizar actividades de fiscalización y de auditoría interna o externa, y, eventualmente, afincamiento de responsabilidades y atención de asuntos contenciosos, administrativos y/o judiciales.</w:t>
            </w:r>
          </w:p>
        </w:tc>
        <w:tc>
          <w:tcPr>
            <w:tcW w:w="5245" w:type="dxa"/>
            <w:vMerge w:val="restart"/>
            <w:tcBorders>
              <w:top w:val="nil"/>
              <w:left w:val="nil"/>
              <w:bottom w:val="nil"/>
              <w:right w:val="nil"/>
            </w:tcBorders>
            <w:shd w:val="clear" w:color="000000" w:fill="D3D4D6"/>
            <w:tcMar>
              <w:top w:w="57" w:type="dxa"/>
              <w:bottom w:w="57" w:type="dxa"/>
            </w:tcMar>
            <w:vAlign w:val="center"/>
            <w:hideMark/>
          </w:tcPr>
          <w:p w:rsidR="00872AF5" w:rsidRPr="00872AF5" w:rsidRDefault="00872AF5" w:rsidP="003B1532">
            <w:pPr>
              <w:spacing w:after="0" w:line="240" w:lineRule="auto"/>
              <w:jc w:val="both"/>
              <w:rPr>
                <w:rFonts w:ascii="Arial" w:eastAsia="Times New Roman" w:hAnsi="Arial" w:cs="Arial"/>
                <w:color w:val="000000"/>
                <w:sz w:val="20"/>
                <w:szCs w:val="20"/>
                <w:lang w:eastAsia="es-MX"/>
              </w:rPr>
            </w:pPr>
            <w:r w:rsidRPr="00872AF5">
              <w:rPr>
                <w:rFonts w:ascii="Arial" w:eastAsia="Times New Roman" w:hAnsi="Arial" w:cs="Arial"/>
                <w:color w:val="000000"/>
                <w:sz w:val="20"/>
                <w:szCs w:val="20"/>
                <w:lang w:eastAsia="es-MX"/>
              </w:rPr>
              <w:t xml:space="preserve">Artículos 17, párrafo segundo, 21, párrafo primero, 79, fracción IV, párrafo cuarto, 94, 102, apartado A, 103 y 107, 116, fracción II, párrafo sexto, 123, apartado B, fracción XII, de la </w:t>
            </w:r>
            <w:r w:rsidR="003B1532" w:rsidRPr="003B1532">
              <w:rPr>
                <w:rFonts w:ascii="Arial" w:eastAsia="Times New Roman" w:hAnsi="Arial" w:cs="Arial"/>
                <w:color w:val="000000"/>
                <w:sz w:val="20"/>
                <w:szCs w:val="20"/>
                <w:lang w:eastAsia="es-MX"/>
              </w:rPr>
              <w:t>Constitución Política de los Estados Unidos Mexicanos</w:t>
            </w:r>
            <w:r w:rsidRPr="00872AF5">
              <w:rPr>
                <w:rFonts w:ascii="Arial" w:eastAsia="Times New Roman" w:hAnsi="Arial" w:cs="Arial"/>
                <w:color w:val="000000"/>
                <w:sz w:val="20"/>
                <w:szCs w:val="20"/>
                <w:lang w:eastAsia="es-MX"/>
              </w:rPr>
              <w:t xml:space="preserve">; 12, fracción X, 86, 95, 108, 113, 114, 124, 125 de la </w:t>
            </w:r>
            <w:r w:rsidR="003B1532" w:rsidRPr="003B1532">
              <w:rPr>
                <w:rFonts w:ascii="Arial" w:eastAsia="Times New Roman" w:hAnsi="Arial" w:cs="Arial"/>
                <w:color w:val="000000"/>
                <w:sz w:val="20"/>
                <w:szCs w:val="20"/>
                <w:lang w:eastAsia="es-MX"/>
              </w:rPr>
              <w:t>Constitución Política del Estado Libre y Soberano de Puebla</w:t>
            </w:r>
            <w:r w:rsidRPr="00872AF5">
              <w:rPr>
                <w:rFonts w:ascii="Arial" w:eastAsia="Times New Roman" w:hAnsi="Arial" w:cs="Arial"/>
                <w:color w:val="000000"/>
                <w:sz w:val="20"/>
                <w:szCs w:val="20"/>
                <w:lang w:eastAsia="es-MX"/>
              </w:rPr>
              <w:t xml:space="preserve">; 44 de la </w:t>
            </w:r>
            <w:r w:rsidR="003B1532" w:rsidRPr="003B1532">
              <w:rPr>
                <w:rFonts w:ascii="Arial" w:eastAsia="Times New Roman" w:hAnsi="Arial" w:cs="Arial"/>
                <w:color w:val="000000"/>
                <w:sz w:val="20"/>
                <w:szCs w:val="20"/>
                <w:lang w:eastAsia="es-MX"/>
              </w:rPr>
              <w:t>Ley de Presupuesto y Gasto Público Responsable del Estado de Puebla</w:t>
            </w:r>
            <w:r w:rsidRPr="00872AF5">
              <w:rPr>
                <w:rFonts w:ascii="Arial" w:eastAsia="Times New Roman" w:hAnsi="Arial" w:cs="Arial"/>
                <w:color w:val="000000"/>
                <w:sz w:val="20"/>
                <w:szCs w:val="20"/>
                <w:lang w:eastAsia="es-MX"/>
              </w:rPr>
              <w:t xml:space="preserve">; 1, 3, 22, 37, 38 y 39 de la </w:t>
            </w:r>
            <w:r w:rsidR="003B1532" w:rsidRPr="003B1532">
              <w:rPr>
                <w:rFonts w:ascii="Arial" w:eastAsia="Times New Roman" w:hAnsi="Arial" w:cs="Arial"/>
                <w:color w:val="000000"/>
                <w:sz w:val="20"/>
                <w:szCs w:val="20"/>
                <w:lang w:eastAsia="es-MX"/>
              </w:rPr>
              <w:t>Ley de Fiscalización Superior y Rendición de Cuentas para el Estado de Puebla</w:t>
            </w:r>
            <w:r w:rsidRPr="00872AF5">
              <w:rPr>
                <w:rFonts w:ascii="Arial" w:eastAsia="Times New Roman" w:hAnsi="Arial" w:cs="Arial"/>
                <w:color w:val="000000"/>
                <w:sz w:val="20"/>
                <w:szCs w:val="20"/>
                <w:lang w:eastAsia="es-MX"/>
              </w:rPr>
              <w:t xml:space="preserve">; y 15, fracción XXXI, y 18, fracciones XIV y XV, del </w:t>
            </w:r>
            <w:r w:rsidR="003B1532" w:rsidRPr="003B1532">
              <w:rPr>
                <w:rFonts w:ascii="Arial" w:eastAsia="Times New Roman" w:hAnsi="Arial" w:cs="Arial"/>
                <w:color w:val="000000"/>
                <w:sz w:val="20"/>
                <w:szCs w:val="20"/>
                <w:lang w:eastAsia="es-MX"/>
              </w:rPr>
              <w:t>Reglamento Interior del Instituto de Transparencia, Acceso a la Información Pública y Protección de Datos Personales del Estado de Puebla</w:t>
            </w:r>
            <w:r w:rsidRPr="00872AF5">
              <w:rPr>
                <w:rFonts w:ascii="Arial" w:eastAsia="Times New Roman" w:hAnsi="Arial" w:cs="Arial"/>
                <w:color w:val="000000"/>
                <w:sz w:val="20"/>
                <w:szCs w:val="20"/>
                <w:lang w:eastAsia="es-MX"/>
              </w:rPr>
              <w:t>.</w:t>
            </w:r>
          </w:p>
        </w:tc>
      </w:tr>
      <w:tr w:rsidR="00872AF5" w:rsidRPr="00872AF5" w:rsidTr="00770A39">
        <w:trPr>
          <w:trHeight w:val="408"/>
        </w:trPr>
        <w:tc>
          <w:tcPr>
            <w:tcW w:w="3686" w:type="dxa"/>
            <w:vMerge/>
            <w:tcBorders>
              <w:top w:val="nil"/>
              <w:left w:val="nil"/>
              <w:bottom w:val="nil"/>
              <w:right w:val="nil"/>
            </w:tcBorders>
            <w:tcMar>
              <w:top w:w="57" w:type="dxa"/>
              <w:bottom w:w="57" w:type="dxa"/>
            </w:tcMar>
            <w:vAlign w:val="center"/>
            <w:hideMark/>
          </w:tcPr>
          <w:p w:rsidR="00872AF5" w:rsidRPr="00872AF5" w:rsidRDefault="00872AF5" w:rsidP="003B1532">
            <w:pPr>
              <w:spacing w:after="0" w:line="240" w:lineRule="auto"/>
              <w:jc w:val="both"/>
              <w:rPr>
                <w:rFonts w:ascii="Arial" w:eastAsia="Times New Roman" w:hAnsi="Arial" w:cs="Arial"/>
                <w:color w:val="000000"/>
                <w:sz w:val="20"/>
                <w:szCs w:val="20"/>
                <w:lang w:eastAsia="es-MX"/>
              </w:rPr>
            </w:pPr>
          </w:p>
        </w:tc>
        <w:tc>
          <w:tcPr>
            <w:tcW w:w="5245" w:type="dxa"/>
            <w:vMerge/>
            <w:tcBorders>
              <w:top w:val="nil"/>
              <w:left w:val="nil"/>
              <w:bottom w:val="nil"/>
              <w:right w:val="nil"/>
            </w:tcBorders>
            <w:tcMar>
              <w:top w:w="57" w:type="dxa"/>
              <w:bottom w:w="57" w:type="dxa"/>
            </w:tcMar>
            <w:vAlign w:val="center"/>
            <w:hideMark/>
          </w:tcPr>
          <w:p w:rsidR="00872AF5" w:rsidRPr="00872AF5" w:rsidRDefault="00872AF5" w:rsidP="00872AF5">
            <w:pPr>
              <w:spacing w:after="0" w:line="240" w:lineRule="auto"/>
              <w:rPr>
                <w:rFonts w:ascii="Arial" w:eastAsia="Times New Roman" w:hAnsi="Arial" w:cs="Arial"/>
                <w:color w:val="000000"/>
                <w:sz w:val="20"/>
                <w:szCs w:val="20"/>
                <w:lang w:eastAsia="es-MX"/>
              </w:rPr>
            </w:pPr>
          </w:p>
        </w:tc>
      </w:tr>
      <w:tr w:rsidR="00872AF5" w:rsidRPr="00872AF5" w:rsidTr="00770A39">
        <w:trPr>
          <w:trHeight w:val="1650"/>
        </w:trPr>
        <w:tc>
          <w:tcPr>
            <w:tcW w:w="3686" w:type="dxa"/>
            <w:tcBorders>
              <w:top w:val="nil"/>
              <w:left w:val="nil"/>
              <w:bottom w:val="nil"/>
              <w:right w:val="nil"/>
            </w:tcBorders>
            <w:shd w:val="clear" w:color="000000" w:fill="D3D4D6"/>
            <w:tcMar>
              <w:top w:w="57" w:type="dxa"/>
              <w:bottom w:w="57" w:type="dxa"/>
            </w:tcMar>
            <w:vAlign w:val="center"/>
            <w:hideMark/>
          </w:tcPr>
          <w:p w:rsidR="00872AF5" w:rsidRPr="00872AF5" w:rsidRDefault="00872AF5" w:rsidP="003B1532">
            <w:pPr>
              <w:spacing w:after="0" w:line="240" w:lineRule="auto"/>
              <w:jc w:val="both"/>
              <w:rPr>
                <w:rFonts w:ascii="Arial" w:eastAsia="Times New Roman" w:hAnsi="Arial" w:cs="Arial"/>
                <w:color w:val="000000"/>
                <w:sz w:val="20"/>
                <w:szCs w:val="20"/>
                <w:lang w:eastAsia="es-MX"/>
              </w:rPr>
            </w:pPr>
            <w:r w:rsidRPr="00872AF5">
              <w:rPr>
                <w:rFonts w:ascii="Arial" w:eastAsia="Times New Roman" w:hAnsi="Arial" w:cs="Arial"/>
                <w:color w:val="000000"/>
                <w:sz w:val="20"/>
                <w:szCs w:val="20"/>
                <w:lang w:eastAsia="es-MX"/>
              </w:rPr>
              <w:t>Publicar la información de los resultados sobre procedimientos de adjudicación directa, invitación restringida y licitación de cualquier naturaleza, la versión pública del expediente respectivo y los contratos celebrados, así como el padrón de proveedores y contratistas.</w:t>
            </w:r>
          </w:p>
        </w:tc>
        <w:tc>
          <w:tcPr>
            <w:tcW w:w="5245" w:type="dxa"/>
            <w:tcBorders>
              <w:top w:val="nil"/>
              <w:left w:val="nil"/>
              <w:bottom w:val="nil"/>
              <w:right w:val="nil"/>
            </w:tcBorders>
            <w:shd w:val="clear" w:color="000000" w:fill="D3D4D6"/>
            <w:tcMar>
              <w:top w:w="57" w:type="dxa"/>
              <w:bottom w:w="57" w:type="dxa"/>
            </w:tcMar>
            <w:vAlign w:val="center"/>
            <w:hideMark/>
          </w:tcPr>
          <w:p w:rsidR="00872AF5" w:rsidRPr="00872AF5" w:rsidRDefault="00872AF5" w:rsidP="003B1532">
            <w:pPr>
              <w:spacing w:after="0" w:line="240" w:lineRule="auto"/>
              <w:jc w:val="both"/>
              <w:rPr>
                <w:rFonts w:ascii="Arial" w:eastAsia="Times New Roman" w:hAnsi="Arial" w:cs="Arial"/>
                <w:color w:val="000000"/>
                <w:sz w:val="20"/>
                <w:szCs w:val="20"/>
                <w:lang w:eastAsia="es-MX"/>
              </w:rPr>
            </w:pPr>
            <w:r w:rsidRPr="00872AF5">
              <w:rPr>
                <w:rFonts w:ascii="Arial" w:eastAsia="Times New Roman" w:hAnsi="Arial" w:cs="Arial"/>
                <w:color w:val="000000"/>
                <w:sz w:val="20"/>
                <w:szCs w:val="20"/>
                <w:lang w:eastAsia="es-MX"/>
              </w:rPr>
              <w:t xml:space="preserve">Artículos 69, 71, 77, fracciones XXVIII y XXXII de la </w:t>
            </w:r>
            <w:r w:rsidR="003B1532">
              <w:rPr>
                <w:rFonts w:ascii="Arial" w:eastAsia="Times New Roman" w:hAnsi="Arial" w:cs="Arial"/>
                <w:color w:val="000000"/>
                <w:sz w:val="20"/>
                <w:szCs w:val="20"/>
                <w:lang w:eastAsia="es-MX"/>
              </w:rPr>
              <w:t>Ley de Transparencia y Acceso a la Información Pública del Estado de Puebla</w:t>
            </w:r>
            <w:r w:rsidRPr="00872AF5">
              <w:rPr>
                <w:rFonts w:ascii="Arial" w:eastAsia="Times New Roman" w:hAnsi="Arial" w:cs="Arial"/>
                <w:color w:val="000000"/>
                <w:sz w:val="20"/>
                <w:szCs w:val="20"/>
                <w:lang w:eastAsia="es-MX"/>
              </w:rPr>
              <w:t xml:space="preserve"> y 15, fracción XXVIII y 18, fracciones V y XII, y 24 bis, fracciones XIV y XV, del </w:t>
            </w:r>
            <w:r w:rsidR="003B1532" w:rsidRPr="003B1532">
              <w:rPr>
                <w:rFonts w:ascii="Arial" w:eastAsia="Times New Roman" w:hAnsi="Arial" w:cs="Arial"/>
                <w:color w:val="000000"/>
                <w:sz w:val="20"/>
                <w:szCs w:val="20"/>
                <w:lang w:eastAsia="es-MX"/>
              </w:rPr>
              <w:t>Reglamento Interior del Instituto de Transparencia, Acceso a la Información Pública y Protección de Datos Personales del Estado de Puebla</w:t>
            </w:r>
            <w:r w:rsidRPr="00872AF5">
              <w:rPr>
                <w:rFonts w:ascii="Arial" w:eastAsia="Times New Roman" w:hAnsi="Arial" w:cs="Arial"/>
                <w:color w:val="000000"/>
                <w:sz w:val="20"/>
                <w:szCs w:val="20"/>
                <w:lang w:eastAsia="es-MX"/>
              </w:rPr>
              <w:t>.</w:t>
            </w:r>
          </w:p>
        </w:tc>
      </w:tr>
      <w:tr w:rsidR="00872AF5" w:rsidRPr="00872AF5" w:rsidTr="00770A39">
        <w:trPr>
          <w:trHeight w:val="815"/>
        </w:trPr>
        <w:tc>
          <w:tcPr>
            <w:tcW w:w="3686" w:type="dxa"/>
            <w:tcBorders>
              <w:top w:val="nil"/>
              <w:left w:val="nil"/>
              <w:bottom w:val="nil"/>
              <w:right w:val="nil"/>
            </w:tcBorders>
            <w:shd w:val="clear" w:color="000000" w:fill="D3D4D6"/>
            <w:noWrap/>
            <w:tcMar>
              <w:top w:w="57" w:type="dxa"/>
              <w:bottom w:w="57" w:type="dxa"/>
            </w:tcMar>
            <w:vAlign w:val="center"/>
            <w:hideMark/>
          </w:tcPr>
          <w:p w:rsidR="00872AF5" w:rsidRPr="00872AF5" w:rsidRDefault="00872AF5" w:rsidP="003B1532">
            <w:pPr>
              <w:spacing w:after="0" w:line="240" w:lineRule="auto"/>
              <w:jc w:val="both"/>
              <w:rPr>
                <w:rFonts w:ascii="Arial" w:eastAsia="Times New Roman" w:hAnsi="Arial" w:cs="Arial"/>
                <w:color w:val="000000"/>
                <w:sz w:val="20"/>
                <w:szCs w:val="20"/>
                <w:lang w:eastAsia="es-MX"/>
              </w:rPr>
            </w:pPr>
            <w:r w:rsidRPr="00872AF5">
              <w:rPr>
                <w:rFonts w:ascii="Arial" w:eastAsia="Times New Roman" w:hAnsi="Arial" w:cs="Arial"/>
                <w:color w:val="000000"/>
                <w:sz w:val="20"/>
                <w:szCs w:val="20"/>
                <w:lang w:eastAsia="es-MX"/>
              </w:rPr>
              <w:t xml:space="preserve">Proporcionar los datos personales en respuesta a una solicitud de acceso a la información pública, </w:t>
            </w:r>
            <w:r w:rsidR="003B1532">
              <w:rPr>
                <w:rFonts w:ascii="Arial" w:eastAsia="Times New Roman" w:hAnsi="Arial" w:cs="Arial"/>
                <w:color w:val="000000"/>
                <w:sz w:val="20"/>
                <w:szCs w:val="20"/>
                <w:lang w:eastAsia="es-MX"/>
              </w:rPr>
              <w:t>previa autorización del titular</w:t>
            </w:r>
            <w:r w:rsidRPr="00872AF5">
              <w:rPr>
                <w:rFonts w:ascii="Arial" w:eastAsia="Times New Roman" w:hAnsi="Arial" w:cs="Arial"/>
                <w:color w:val="000000"/>
                <w:sz w:val="20"/>
                <w:szCs w:val="20"/>
                <w:lang w:eastAsia="es-MX"/>
              </w:rPr>
              <w:t>.</w:t>
            </w:r>
          </w:p>
        </w:tc>
        <w:tc>
          <w:tcPr>
            <w:tcW w:w="5245" w:type="dxa"/>
            <w:tcBorders>
              <w:top w:val="nil"/>
              <w:left w:val="nil"/>
              <w:bottom w:val="nil"/>
              <w:right w:val="nil"/>
            </w:tcBorders>
            <w:shd w:val="clear" w:color="000000" w:fill="D3D4D6"/>
            <w:noWrap/>
            <w:tcMar>
              <w:top w:w="57" w:type="dxa"/>
              <w:bottom w:w="57" w:type="dxa"/>
            </w:tcMar>
            <w:vAlign w:val="center"/>
            <w:hideMark/>
          </w:tcPr>
          <w:p w:rsidR="00872AF5" w:rsidRPr="00872AF5" w:rsidRDefault="00872AF5" w:rsidP="003B1532">
            <w:pPr>
              <w:spacing w:after="0" w:line="240" w:lineRule="auto"/>
              <w:jc w:val="both"/>
              <w:rPr>
                <w:rFonts w:ascii="Arial" w:eastAsia="Times New Roman" w:hAnsi="Arial" w:cs="Arial"/>
                <w:color w:val="000000"/>
                <w:sz w:val="20"/>
                <w:szCs w:val="20"/>
                <w:lang w:eastAsia="es-MX"/>
              </w:rPr>
            </w:pPr>
            <w:r w:rsidRPr="00872AF5">
              <w:rPr>
                <w:rFonts w:ascii="Arial" w:eastAsia="Times New Roman" w:hAnsi="Arial" w:cs="Arial"/>
                <w:color w:val="000000"/>
                <w:sz w:val="20"/>
                <w:szCs w:val="20"/>
                <w:lang w:eastAsia="es-MX"/>
              </w:rPr>
              <w:t xml:space="preserve">Artículos 136 y 137 de la </w:t>
            </w:r>
            <w:r w:rsidR="003B1532">
              <w:rPr>
                <w:rFonts w:ascii="Arial" w:eastAsia="Times New Roman" w:hAnsi="Arial" w:cs="Arial"/>
                <w:color w:val="000000"/>
                <w:sz w:val="20"/>
                <w:szCs w:val="20"/>
                <w:lang w:eastAsia="es-MX"/>
              </w:rPr>
              <w:t>Ley de Transparencia y Acceso a la Información Pública del Estado de Puebla</w:t>
            </w:r>
            <w:r w:rsidRPr="00872AF5">
              <w:rPr>
                <w:rFonts w:ascii="Arial" w:eastAsia="Times New Roman" w:hAnsi="Arial" w:cs="Arial"/>
                <w:color w:val="000000"/>
                <w:sz w:val="20"/>
                <w:szCs w:val="20"/>
                <w:lang w:eastAsia="es-MX"/>
              </w:rPr>
              <w:t>.</w:t>
            </w:r>
          </w:p>
        </w:tc>
      </w:tr>
    </w:tbl>
    <w:p w:rsidR="00770A39" w:rsidRDefault="00770A39" w:rsidP="009443EA">
      <w:pPr>
        <w:jc w:val="both"/>
        <w:rPr>
          <w:rFonts w:ascii="Arial" w:hAnsi="Arial" w:cs="Arial"/>
          <w:b/>
        </w:rPr>
      </w:pPr>
    </w:p>
    <w:p w:rsidR="009443EA" w:rsidRPr="00064842" w:rsidRDefault="009443EA" w:rsidP="009443EA">
      <w:pPr>
        <w:jc w:val="both"/>
        <w:rPr>
          <w:rFonts w:ascii="Arial" w:hAnsi="Arial" w:cs="Arial"/>
          <w:b/>
        </w:rPr>
      </w:pPr>
      <w:r w:rsidRPr="00064842">
        <w:rPr>
          <w:rFonts w:ascii="Arial" w:hAnsi="Arial" w:cs="Arial"/>
          <w:b/>
        </w:rPr>
        <w:t>5</w:t>
      </w:r>
      <w:r>
        <w:rPr>
          <w:rFonts w:ascii="Arial" w:hAnsi="Arial" w:cs="Arial"/>
          <w:b/>
        </w:rPr>
        <w:t>.2</w:t>
      </w:r>
      <w:r w:rsidRPr="00064842">
        <w:rPr>
          <w:rFonts w:ascii="Arial" w:hAnsi="Arial" w:cs="Arial"/>
          <w:b/>
        </w:rPr>
        <w:t xml:space="preserve">) Fundamento legal para llevar a cabo </w:t>
      </w:r>
      <w:r>
        <w:rPr>
          <w:rFonts w:ascii="Arial" w:hAnsi="Arial" w:cs="Arial"/>
          <w:b/>
        </w:rPr>
        <w:t>la transferencia</w:t>
      </w:r>
      <w:r w:rsidRPr="00064842">
        <w:rPr>
          <w:rFonts w:ascii="Arial" w:hAnsi="Arial" w:cs="Arial"/>
          <w:b/>
        </w:rPr>
        <w:t xml:space="preserve"> de datos personales:</w:t>
      </w:r>
    </w:p>
    <w:p w:rsidR="00770A39" w:rsidRDefault="009443EA" w:rsidP="009443EA">
      <w:pPr>
        <w:jc w:val="both"/>
        <w:rPr>
          <w:rFonts w:ascii="Arial" w:hAnsi="Arial" w:cs="Arial"/>
        </w:rPr>
      </w:pPr>
      <w:r>
        <w:rPr>
          <w:rFonts w:ascii="Arial" w:hAnsi="Arial" w:cs="Arial"/>
        </w:rPr>
        <w:t xml:space="preserve">El fundamento legal que faculta al ITAIPUE para llevar a cabo la transferencia de datos personales se encuentra en los </w:t>
      </w:r>
      <w:r w:rsidR="00770A39">
        <w:rPr>
          <w:rFonts w:ascii="Arial" w:hAnsi="Arial" w:cs="Arial"/>
        </w:rPr>
        <w:t>artículos</w:t>
      </w:r>
      <w:r w:rsidR="004F2452">
        <w:rPr>
          <w:rFonts w:ascii="Arial" w:hAnsi="Arial" w:cs="Arial"/>
        </w:rPr>
        <w:t xml:space="preserve"> siguientes:</w:t>
      </w:r>
    </w:p>
    <w:tbl>
      <w:tblPr>
        <w:tblW w:w="8931" w:type="dxa"/>
        <w:tblLayout w:type="fixed"/>
        <w:tblCellMar>
          <w:left w:w="70" w:type="dxa"/>
          <w:right w:w="70" w:type="dxa"/>
        </w:tblCellMar>
        <w:tblLook w:val="04A0" w:firstRow="1" w:lastRow="0" w:firstColumn="1" w:lastColumn="0" w:noHBand="0" w:noVBand="1"/>
      </w:tblPr>
      <w:tblGrid>
        <w:gridCol w:w="3686"/>
        <w:gridCol w:w="5245"/>
      </w:tblGrid>
      <w:tr w:rsidR="004F2452" w:rsidRPr="00872AF5" w:rsidTr="00293703">
        <w:trPr>
          <w:trHeight w:val="567"/>
        </w:trPr>
        <w:tc>
          <w:tcPr>
            <w:tcW w:w="3686" w:type="dxa"/>
            <w:tcBorders>
              <w:top w:val="nil"/>
              <w:left w:val="nil"/>
              <w:bottom w:val="nil"/>
              <w:right w:val="nil"/>
            </w:tcBorders>
            <w:shd w:val="clear" w:color="000000" w:fill="ACBECB"/>
            <w:noWrap/>
            <w:vAlign w:val="center"/>
            <w:hideMark/>
          </w:tcPr>
          <w:p w:rsidR="004F2452" w:rsidRPr="00872AF5" w:rsidRDefault="004F2452" w:rsidP="0029370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Receptor</w:t>
            </w:r>
            <w:r w:rsidRPr="00872AF5">
              <w:rPr>
                <w:rFonts w:ascii="Arial" w:eastAsia="Times New Roman" w:hAnsi="Arial" w:cs="Arial"/>
                <w:b/>
                <w:bCs/>
                <w:color w:val="000000"/>
                <w:sz w:val="20"/>
                <w:szCs w:val="20"/>
                <w:lang w:eastAsia="es-MX"/>
              </w:rPr>
              <w:t>:</w:t>
            </w:r>
          </w:p>
        </w:tc>
        <w:tc>
          <w:tcPr>
            <w:tcW w:w="5245" w:type="dxa"/>
            <w:tcBorders>
              <w:top w:val="nil"/>
              <w:left w:val="nil"/>
              <w:bottom w:val="nil"/>
              <w:right w:val="nil"/>
            </w:tcBorders>
            <w:shd w:val="clear" w:color="000000" w:fill="ACBECB"/>
            <w:noWrap/>
            <w:vAlign w:val="center"/>
            <w:hideMark/>
          </w:tcPr>
          <w:p w:rsidR="004F2452" w:rsidRPr="00872AF5" w:rsidRDefault="004F2452" w:rsidP="00293703">
            <w:pPr>
              <w:spacing w:after="0" w:line="240" w:lineRule="auto"/>
              <w:jc w:val="center"/>
              <w:rPr>
                <w:rFonts w:ascii="Arial" w:eastAsia="Times New Roman" w:hAnsi="Arial" w:cs="Arial"/>
                <w:b/>
                <w:bCs/>
                <w:color w:val="000000"/>
                <w:sz w:val="20"/>
                <w:szCs w:val="20"/>
                <w:lang w:eastAsia="es-MX"/>
              </w:rPr>
            </w:pPr>
            <w:r w:rsidRPr="00872AF5">
              <w:rPr>
                <w:rFonts w:ascii="Arial" w:eastAsia="Times New Roman" w:hAnsi="Arial" w:cs="Arial"/>
                <w:b/>
                <w:bCs/>
                <w:color w:val="000000"/>
                <w:sz w:val="20"/>
                <w:szCs w:val="20"/>
                <w:lang w:eastAsia="es-MX"/>
              </w:rPr>
              <w:t>Fundamento legal</w:t>
            </w:r>
          </w:p>
        </w:tc>
      </w:tr>
      <w:tr w:rsidR="004F2452" w:rsidRPr="00872AF5" w:rsidTr="00293703">
        <w:trPr>
          <w:trHeight w:val="815"/>
        </w:trPr>
        <w:tc>
          <w:tcPr>
            <w:tcW w:w="3686" w:type="dxa"/>
            <w:tcBorders>
              <w:top w:val="nil"/>
              <w:left w:val="nil"/>
              <w:bottom w:val="nil"/>
              <w:right w:val="nil"/>
            </w:tcBorders>
            <w:shd w:val="clear" w:color="000000" w:fill="D3D4D6"/>
            <w:noWrap/>
            <w:tcMar>
              <w:top w:w="57" w:type="dxa"/>
              <w:bottom w:w="57" w:type="dxa"/>
            </w:tcMar>
            <w:vAlign w:val="center"/>
            <w:hideMark/>
          </w:tcPr>
          <w:p w:rsidR="004F2452" w:rsidRPr="00872AF5" w:rsidRDefault="004F2452" w:rsidP="004F24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Auditoría Superior del Estado de Puebla</w:t>
            </w:r>
          </w:p>
        </w:tc>
        <w:tc>
          <w:tcPr>
            <w:tcW w:w="5245" w:type="dxa"/>
            <w:tcBorders>
              <w:top w:val="nil"/>
              <w:left w:val="nil"/>
              <w:bottom w:val="nil"/>
              <w:right w:val="nil"/>
            </w:tcBorders>
            <w:shd w:val="clear" w:color="000000" w:fill="D3D4D6"/>
            <w:noWrap/>
            <w:tcMar>
              <w:top w:w="57" w:type="dxa"/>
              <w:bottom w:w="57" w:type="dxa"/>
            </w:tcMar>
            <w:vAlign w:val="center"/>
            <w:hideMark/>
          </w:tcPr>
          <w:p w:rsidR="004F2452" w:rsidRPr="00872AF5" w:rsidRDefault="004F2452" w:rsidP="004F2452">
            <w:pPr>
              <w:spacing w:after="0" w:line="240" w:lineRule="auto"/>
              <w:jc w:val="both"/>
              <w:rPr>
                <w:rFonts w:ascii="Arial" w:eastAsia="Times New Roman" w:hAnsi="Arial" w:cs="Arial"/>
                <w:color w:val="000000"/>
                <w:sz w:val="20"/>
                <w:szCs w:val="20"/>
                <w:lang w:eastAsia="es-MX"/>
              </w:rPr>
            </w:pPr>
            <w:r w:rsidRPr="004F2452">
              <w:rPr>
                <w:rFonts w:ascii="Arial" w:eastAsia="Times New Roman" w:hAnsi="Arial" w:cs="Arial"/>
                <w:color w:val="000000"/>
                <w:sz w:val="20"/>
                <w:szCs w:val="20"/>
                <w:lang w:eastAsia="es-MX"/>
              </w:rPr>
              <w:t>Artículos 113 y 114 de la Constitución Política del Es</w:t>
            </w:r>
            <w:r>
              <w:rPr>
                <w:rFonts w:ascii="Arial" w:eastAsia="Times New Roman" w:hAnsi="Arial" w:cs="Arial"/>
                <w:color w:val="000000"/>
                <w:sz w:val="20"/>
                <w:szCs w:val="20"/>
                <w:lang w:eastAsia="es-MX"/>
              </w:rPr>
              <w:t xml:space="preserve">tado Libre y Soberano de Puebla y </w:t>
            </w:r>
            <w:r w:rsidRPr="004F2452">
              <w:rPr>
                <w:rFonts w:ascii="Arial" w:eastAsia="Times New Roman" w:hAnsi="Arial" w:cs="Arial"/>
                <w:color w:val="000000"/>
                <w:sz w:val="20"/>
                <w:szCs w:val="20"/>
                <w:lang w:eastAsia="es-MX"/>
              </w:rPr>
              <w:t>1, 2, 9, 30, 31, 32, 33, 35, 37, 43 y 54  de la Ley de Rendición de Cuentas y Fiscalización Superior del Estado de Puebla.</w:t>
            </w:r>
          </w:p>
        </w:tc>
      </w:tr>
      <w:tr w:rsidR="004F2452" w:rsidRPr="00872AF5" w:rsidTr="00293703">
        <w:trPr>
          <w:trHeight w:val="815"/>
        </w:trPr>
        <w:tc>
          <w:tcPr>
            <w:tcW w:w="3686" w:type="dxa"/>
            <w:tcBorders>
              <w:top w:val="nil"/>
              <w:left w:val="nil"/>
              <w:bottom w:val="nil"/>
              <w:right w:val="nil"/>
            </w:tcBorders>
            <w:shd w:val="clear" w:color="000000" w:fill="D3D4D6"/>
            <w:noWrap/>
            <w:tcMar>
              <w:top w:w="57" w:type="dxa"/>
              <w:bottom w:w="57" w:type="dxa"/>
            </w:tcMar>
            <w:vAlign w:val="center"/>
          </w:tcPr>
          <w:p w:rsidR="004F2452" w:rsidRDefault="004F2452" w:rsidP="004F24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Auditores externos</w:t>
            </w:r>
          </w:p>
        </w:tc>
        <w:tc>
          <w:tcPr>
            <w:tcW w:w="5245" w:type="dxa"/>
            <w:tcBorders>
              <w:top w:val="nil"/>
              <w:left w:val="nil"/>
              <w:bottom w:val="nil"/>
              <w:right w:val="nil"/>
            </w:tcBorders>
            <w:shd w:val="clear" w:color="000000" w:fill="D3D4D6"/>
            <w:noWrap/>
            <w:tcMar>
              <w:top w:w="57" w:type="dxa"/>
              <w:bottom w:w="57" w:type="dxa"/>
            </w:tcMar>
            <w:vAlign w:val="center"/>
          </w:tcPr>
          <w:p w:rsidR="004F2452" w:rsidRPr="004F2452" w:rsidRDefault="004F2452" w:rsidP="004F2452">
            <w:pPr>
              <w:spacing w:after="0" w:line="240" w:lineRule="auto"/>
              <w:jc w:val="both"/>
              <w:rPr>
                <w:rFonts w:ascii="Arial" w:eastAsia="Times New Roman" w:hAnsi="Arial" w:cs="Arial"/>
                <w:color w:val="000000"/>
                <w:sz w:val="20"/>
                <w:szCs w:val="20"/>
                <w:lang w:eastAsia="es-MX"/>
              </w:rPr>
            </w:pPr>
            <w:r w:rsidRPr="004F2452">
              <w:rPr>
                <w:rFonts w:ascii="Arial" w:eastAsia="Times New Roman" w:hAnsi="Arial" w:cs="Arial"/>
                <w:color w:val="000000"/>
                <w:sz w:val="20"/>
                <w:szCs w:val="20"/>
                <w:lang w:eastAsia="es-MX"/>
              </w:rPr>
              <w:t>Artículos 113 y 114 de la Constitución Política del Es</w:t>
            </w:r>
            <w:r>
              <w:rPr>
                <w:rFonts w:ascii="Arial" w:eastAsia="Times New Roman" w:hAnsi="Arial" w:cs="Arial"/>
                <w:color w:val="000000"/>
                <w:sz w:val="20"/>
                <w:szCs w:val="20"/>
                <w:lang w:eastAsia="es-MX"/>
              </w:rPr>
              <w:t>tado Libre y Soberano de Puebla y</w:t>
            </w:r>
            <w:r w:rsidRPr="004F2452">
              <w:rPr>
                <w:rFonts w:ascii="Arial" w:eastAsia="Times New Roman" w:hAnsi="Arial" w:cs="Arial"/>
                <w:color w:val="000000"/>
                <w:sz w:val="20"/>
                <w:szCs w:val="20"/>
                <w:lang w:eastAsia="es-MX"/>
              </w:rPr>
              <w:t xml:space="preserve"> 9 y 55  de la Ley de Rendición de Cuentas y Fiscalización Superior del Estado de Puebla.</w:t>
            </w:r>
          </w:p>
        </w:tc>
      </w:tr>
    </w:tbl>
    <w:p w:rsidR="004F2452" w:rsidRPr="004F2452" w:rsidRDefault="004F2452" w:rsidP="00B1432A">
      <w:pPr>
        <w:jc w:val="both"/>
        <w:rPr>
          <w:rFonts w:ascii="Arial" w:hAnsi="Arial" w:cs="Arial"/>
          <w:sz w:val="24"/>
        </w:rPr>
      </w:pPr>
    </w:p>
    <w:p w:rsidR="00B1432A" w:rsidRPr="00BE5C27" w:rsidRDefault="00B1432A" w:rsidP="00B1432A">
      <w:pPr>
        <w:jc w:val="both"/>
        <w:rPr>
          <w:rFonts w:ascii="Arial" w:hAnsi="Arial" w:cs="Arial"/>
          <w:b/>
          <w:sz w:val="24"/>
        </w:rPr>
      </w:pPr>
      <w:r>
        <w:rPr>
          <w:rFonts w:ascii="Arial" w:hAnsi="Arial" w:cs="Arial"/>
          <w:b/>
          <w:sz w:val="24"/>
        </w:rPr>
        <w:t>6</w:t>
      </w:r>
      <w:r w:rsidRPr="00BE5C27">
        <w:rPr>
          <w:rFonts w:ascii="Arial" w:hAnsi="Arial" w:cs="Arial"/>
          <w:b/>
          <w:sz w:val="24"/>
        </w:rPr>
        <w:t>) Mecanismos y medios disponibles para que el titular de los datos personales pueda manifestar su negativa para el tratamiento de sus datos personales para finalidades y transferencias que requieran de su consentimiento.</w:t>
      </w:r>
    </w:p>
    <w:p w:rsidR="00B1432A" w:rsidRDefault="00B1432A" w:rsidP="00B1432A">
      <w:pPr>
        <w:jc w:val="both"/>
        <w:rPr>
          <w:rFonts w:ascii="Arial" w:hAnsi="Arial" w:cs="Arial"/>
        </w:rPr>
      </w:pPr>
      <w:r w:rsidRPr="00BE5C27">
        <w:rPr>
          <w:rFonts w:ascii="Arial" w:hAnsi="Arial" w:cs="Arial"/>
        </w:rPr>
        <w:t xml:space="preserve">El titular de los datos personales podrá manifestar </w:t>
      </w:r>
      <w:r>
        <w:rPr>
          <w:rFonts w:ascii="Arial" w:hAnsi="Arial" w:cs="Arial"/>
        </w:rPr>
        <w:t xml:space="preserve">su negativa para el tratamiento </w:t>
      </w:r>
      <w:r w:rsidRPr="00BE5C27">
        <w:rPr>
          <w:rFonts w:ascii="Arial" w:hAnsi="Arial" w:cs="Arial"/>
        </w:rPr>
        <w:t>de sus datos personales para aquellas finalidades y</w:t>
      </w:r>
      <w:r w:rsidR="00F050A2">
        <w:rPr>
          <w:rFonts w:ascii="Arial" w:hAnsi="Arial" w:cs="Arial"/>
        </w:rPr>
        <w:t>/o</w:t>
      </w:r>
      <w:r w:rsidR="00713CD5">
        <w:rPr>
          <w:rFonts w:ascii="Arial" w:hAnsi="Arial" w:cs="Arial"/>
        </w:rPr>
        <w:t>, en su caso,</w:t>
      </w:r>
      <w:r w:rsidRPr="00BE5C27">
        <w:rPr>
          <w:rFonts w:ascii="Arial" w:hAnsi="Arial" w:cs="Arial"/>
        </w:rPr>
        <w:t xml:space="preserve"> </w:t>
      </w:r>
      <w:r>
        <w:rPr>
          <w:rFonts w:ascii="Arial" w:hAnsi="Arial" w:cs="Arial"/>
        </w:rPr>
        <w:t xml:space="preserve">transferencias que sí requieran </w:t>
      </w:r>
      <w:r w:rsidRPr="00BE5C27">
        <w:rPr>
          <w:rFonts w:ascii="Arial" w:hAnsi="Arial" w:cs="Arial"/>
        </w:rPr>
        <w:t>su consentimiento,</w:t>
      </w:r>
      <w:r>
        <w:rPr>
          <w:rFonts w:ascii="Arial" w:hAnsi="Arial" w:cs="Arial"/>
        </w:rPr>
        <w:t xml:space="preserve"> a través de la presentación de una solicitud para el ejercicio de los derech</w:t>
      </w:r>
      <w:r w:rsidR="00F050A2">
        <w:rPr>
          <w:rFonts w:ascii="Arial" w:hAnsi="Arial" w:cs="Arial"/>
        </w:rPr>
        <w:t>os ARCO</w:t>
      </w:r>
      <w:r w:rsidR="00281E9B">
        <w:rPr>
          <w:rFonts w:ascii="Arial" w:hAnsi="Arial" w:cs="Arial"/>
        </w:rPr>
        <w:t>P (acceso, rectificación, cancelación,</w:t>
      </w:r>
      <w:r w:rsidR="00281E9B" w:rsidRPr="008E1525">
        <w:rPr>
          <w:rFonts w:ascii="Arial" w:hAnsi="Arial" w:cs="Arial"/>
        </w:rPr>
        <w:t xml:space="preserve"> oposición</w:t>
      </w:r>
      <w:r w:rsidR="00281E9B">
        <w:rPr>
          <w:rFonts w:ascii="Arial" w:hAnsi="Arial" w:cs="Arial"/>
        </w:rPr>
        <w:t xml:space="preserve"> y portabilidad</w:t>
      </w:r>
      <w:r w:rsidR="00281E9B" w:rsidRPr="008E1525">
        <w:rPr>
          <w:rFonts w:ascii="Arial" w:hAnsi="Arial" w:cs="Arial"/>
        </w:rPr>
        <w:t>)</w:t>
      </w:r>
      <w:r w:rsidR="00F050A2">
        <w:rPr>
          <w:rFonts w:ascii="Arial" w:hAnsi="Arial" w:cs="Arial"/>
        </w:rPr>
        <w:t>. Para ello, el titular de los datos personales habrá de presentar una solicitud en la que ejerza el derecho de oposición, manifestando, de manera clara y concreta, la/s finalidad/es y/o transferencia/s a la/s cual/es se opone.</w:t>
      </w:r>
    </w:p>
    <w:p w:rsidR="00512B85" w:rsidRPr="008E1525" w:rsidRDefault="00512B85" w:rsidP="00512B85">
      <w:pPr>
        <w:jc w:val="both"/>
        <w:rPr>
          <w:rFonts w:ascii="Arial" w:hAnsi="Arial" w:cs="Arial"/>
          <w:b/>
          <w:sz w:val="24"/>
        </w:rPr>
      </w:pPr>
      <w:r>
        <w:rPr>
          <w:rFonts w:ascii="Arial" w:hAnsi="Arial" w:cs="Arial"/>
          <w:b/>
          <w:sz w:val="24"/>
        </w:rPr>
        <w:t>7</w:t>
      </w:r>
      <w:r w:rsidRPr="008E1525">
        <w:rPr>
          <w:rFonts w:ascii="Arial" w:hAnsi="Arial" w:cs="Arial"/>
          <w:b/>
          <w:sz w:val="24"/>
        </w:rPr>
        <w:t>) Mecanismos, medios y procedimientos disponibles para ejercer los derechos ARCO.</w:t>
      </w:r>
    </w:p>
    <w:p w:rsidR="00512B85" w:rsidRPr="008E1525" w:rsidRDefault="00512B85" w:rsidP="00512B85">
      <w:pPr>
        <w:jc w:val="both"/>
        <w:rPr>
          <w:rFonts w:ascii="Arial" w:hAnsi="Arial" w:cs="Arial"/>
        </w:rPr>
      </w:pPr>
      <w:r w:rsidRPr="008E1525">
        <w:rPr>
          <w:rFonts w:ascii="Arial" w:hAnsi="Arial" w:cs="Arial"/>
        </w:rPr>
        <w:t>El titular puede ejercer los denominados derech</w:t>
      </w:r>
      <w:r>
        <w:rPr>
          <w:rFonts w:ascii="Arial" w:hAnsi="Arial" w:cs="Arial"/>
        </w:rPr>
        <w:t>os ARCO</w:t>
      </w:r>
      <w:r w:rsidR="001414EA">
        <w:rPr>
          <w:rFonts w:ascii="Arial" w:hAnsi="Arial" w:cs="Arial"/>
        </w:rPr>
        <w:t>P</w:t>
      </w:r>
      <w:r w:rsidRPr="008E1525">
        <w:rPr>
          <w:rFonts w:ascii="Arial" w:hAnsi="Arial" w:cs="Arial"/>
        </w:rPr>
        <w:t xml:space="preserve">, sobre sus datos personales, </w:t>
      </w:r>
      <w:r>
        <w:rPr>
          <w:rFonts w:ascii="Arial" w:hAnsi="Arial" w:cs="Arial"/>
        </w:rPr>
        <w:t xml:space="preserve">en términos de los artículos 61 </w:t>
      </w:r>
      <w:r w:rsidRPr="008E1525">
        <w:rPr>
          <w:rFonts w:ascii="Arial" w:hAnsi="Arial" w:cs="Arial"/>
        </w:rPr>
        <w:t xml:space="preserve">a 83, del Título Tercero, de la </w:t>
      </w:r>
      <w:r>
        <w:rPr>
          <w:rFonts w:ascii="Arial" w:hAnsi="Arial" w:cs="Arial"/>
        </w:rPr>
        <w:t>Ley de Protección de Datos Personales en Posesión de Sujetos Obligados del Estado de Puebla</w:t>
      </w:r>
      <w:r w:rsidRPr="008E1525">
        <w:rPr>
          <w:rFonts w:ascii="Arial" w:hAnsi="Arial" w:cs="Arial"/>
        </w:rPr>
        <w:t>. E</w:t>
      </w:r>
      <w:r>
        <w:rPr>
          <w:rFonts w:ascii="Arial" w:hAnsi="Arial" w:cs="Arial"/>
        </w:rPr>
        <w:t xml:space="preserve">n este sentido, el titular o su </w:t>
      </w:r>
      <w:r w:rsidRPr="008E1525">
        <w:rPr>
          <w:rFonts w:ascii="Arial" w:hAnsi="Arial" w:cs="Arial"/>
        </w:rPr>
        <w:t>representante pueden presentar, en términos de</w:t>
      </w:r>
      <w:r>
        <w:rPr>
          <w:rFonts w:ascii="Arial" w:hAnsi="Arial" w:cs="Arial"/>
        </w:rPr>
        <w:t xml:space="preserve">l artículo 76 de dicha Ley, una </w:t>
      </w:r>
      <w:r w:rsidRPr="008E1525">
        <w:rPr>
          <w:rFonts w:ascii="Arial" w:hAnsi="Arial" w:cs="Arial"/>
        </w:rPr>
        <w:t>solicitud de derechos ARCO</w:t>
      </w:r>
      <w:r w:rsidR="00281E9B">
        <w:rPr>
          <w:rFonts w:ascii="Arial" w:hAnsi="Arial" w:cs="Arial"/>
        </w:rPr>
        <w:t>P</w:t>
      </w:r>
      <w:r w:rsidRPr="008E1525">
        <w:rPr>
          <w:rFonts w:ascii="Arial" w:hAnsi="Arial" w:cs="Arial"/>
        </w:rPr>
        <w:t xml:space="preserve"> ante la Unidad de Trans</w:t>
      </w:r>
      <w:r>
        <w:rPr>
          <w:rFonts w:ascii="Arial" w:hAnsi="Arial" w:cs="Arial"/>
        </w:rPr>
        <w:t xml:space="preserve">parencia de este Instituto, por </w:t>
      </w:r>
      <w:r w:rsidRPr="008E1525">
        <w:rPr>
          <w:rFonts w:ascii="Arial" w:hAnsi="Arial" w:cs="Arial"/>
        </w:rPr>
        <w:t>escrito o medio electrónico, o bien, vía Plataforma Nacional.</w:t>
      </w:r>
    </w:p>
    <w:p w:rsidR="00512B85" w:rsidRPr="008E1525" w:rsidRDefault="00512B85" w:rsidP="00512B85">
      <w:pPr>
        <w:jc w:val="both"/>
        <w:rPr>
          <w:rFonts w:ascii="Arial" w:hAnsi="Arial" w:cs="Arial"/>
        </w:rPr>
      </w:pPr>
      <w:r w:rsidRPr="008E1525">
        <w:rPr>
          <w:rFonts w:ascii="Arial" w:hAnsi="Arial" w:cs="Arial"/>
        </w:rPr>
        <w:t>Para conocer con más detalle los requisitos, meca</w:t>
      </w:r>
      <w:r>
        <w:rPr>
          <w:rFonts w:ascii="Arial" w:hAnsi="Arial" w:cs="Arial"/>
        </w:rPr>
        <w:t xml:space="preserve">nismos, medios y procedimientos </w:t>
      </w:r>
      <w:r w:rsidRPr="008E1525">
        <w:rPr>
          <w:rFonts w:ascii="Arial" w:hAnsi="Arial" w:cs="Arial"/>
        </w:rPr>
        <w:t>para el ejercicio de los derechos ARCO</w:t>
      </w:r>
      <w:r w:rsidR="00281E9B">
        <w:rPr>
          <w:rFonts w:ascii="Arial" w:hAnsi="Arial" w:cs="Arial"/>
        </w:rPr>
        <w:t>P</w:t>
      </w:r>
      <w:r w:rsidRPr="008E1525">
        <w:rPr>
          <w:rFonts w:ascii="Arial" w:hAnsi="Arial" w:cs="Arial"/>
        </w:rPr>
        <w:t>, se pone a dis</w:t>
      </w:r>
      <w:r>
        <w:rPr>
          <w:rFonts w:ascii="Arial" w:hAnsi="Arial" w:cs="Arial"/>
        </w:rPr>
        <w:t xml:space="preserve">posición del público la sección </w:t>
      </w:r>
      <w:r w:rsidRPr="003E406E">
        <w:rPr>
          <w:rFonts w:ascii="Arial" w:hAnsi="Arial" w:cs="Arial"/>
          <w:i/>
        </w:rPr>
        <w:t>“¿Cómo ejercer los derechos ARCO?”</w:t>
      </w:r>
      <w:r w:rsidRPr="008E1525">
        <w:rPr>
          <w:rFonts w:ascii="Arial" w:hAnsi="Arial" w:cs="Arial"/>
        </w:rPr>
        <w:t xml:space="preserve"> en el sitio web ofi</w:t>
      </w:r>
      <w:r>
        <w:rPr>
          <w:rFonts w:ascii="Arial" w:hAnsi="Arial" w:cs="Arial"/>
        </w:rPr>
        <w:t xml:space="preserve">cial del Instituto, cuyo enlace </w:t>
      </w:r>
      <w:r w:rsidRPr="008E1525">
        <w:rPr>
          <w:rFonts w:ascii="Arial" w:hAnsi="Arial" w:cs="Arial"/>
        </w:rPr>
        <w:t>electrónico es el siguiente:</w:t>
      </w:r>
    </w:p>
    <w:p w:rsidR="00512B85" w:rsidRDefault="00CE32ED" w:rsidP="00512B85">
      <w:pPr>
        <w:jc w:val="both"/>
        <w:rPr>
          <w:rFonts w:ascii="Arial" w:hAnsi="Arial" w:cs="Arial"/>
        </w:rPr>
      </w:pPr>
      <w:hyperlink r:id="rId7" w:history="1">
        <w:r w:rsidR="00512B85" w:rsidRPr="001A64DB">
          <w:rPr>
            <w:rStyle w:val="Hipervnculo"/>
            <w:rFonts w:ascii="Arial" w:hAnsi="Arial" w:cs="Arial"/>
          </w:rPr>
          <w:t>https://itaipue.org.mx/portal/documentos/datosPersonales/ejercerDerechosARCOanteResponsables.pdf</w:t>
        </w:r>
      </w:hyperlink>
      <w:r w:rsidR="00512B85">
        <w:rPr>
          <w:rFonts w:ascii="Arial" w:hAnsi="Arial" w:cs="Arial"/>
        </w:rPr>
        <w:t xml:space="preserve"> </w:t>
      </w:r>
    </w:p>
    <w:p w:rsidR="00512B85" w:rsidRPr="002D5D4E" w:rsidRDefault="00512B85" w:rsidP="00512B85">
      <w:pPr>
        <w:jc w:val="both"/>
        <w:rPr>
          <w:rFonts w:ascii="Arial" w:hAnsi="Arial" w:cs="Arial"/>
          <w:b/>
          <w:sz w:val="24"/>
        </w:rPr>
      </w:pPr>
      <w:r w:rsidRPr="002D5D4E">
        <w:rPr>
          <w:rFonts w:ascii="Arial" w:hAnsi="Arial" w:cs="Arial"/>
          <w:b/>
          <w:sz w:val="24"/>
        </w:rPr>
        <w:t>8) Domicilio de la Unidad de Transparencia del responsable.</w:t>
      </w:r>
    </w:p>
    <w:p w:rsidR="00512B85" w:rsidRDefault="00512B85" w:rsidP="00512B85">
      <w:pPr>
        <w:jc w:val="both"/>
        <w:rPr>
          <w:rFonts w:ascii="Arial" w:hAnsi="Arial" w:cs="Arial"/>
        </w:rPr>
      </w:pPr>
      <w:r w:rsidRPr="002D5D4E">
        <w:rPr>
          <w:rFonts w:ascii="Arial" w:hAnsi="Arial" w:cs="Arial"/>
        </w:rPr>
        <w:t>El domicilio de la Unidad de Transparencia del ITAI</w:t>
      </w:r>
      <w:r>
        <w:rPr>
          <w:rFonts w:ascii="Arial" w:hAnsi="Arial" w:cs="Arial"/>
        </w:rPr>
        <w:t xml:space="preserve">PUE se localiza en la Avenida 5 </w:t>
      </w:r>
      <w:r w:rsidRPr="002D5D4E">
        <w:rPr>
          <w:rFonts w:ascii="Arial" w:hAnsi="Arial" w:cs="Arial"/>
        </w:rPr>
        <w:t>Oriente, número 201, Col. Centro, C.P. 72000, de la ci</w:t>
      </w:r>
      <w:r>
        <w:rPr>
          <w:rFonts w:ascii="Arial" w:hAnsi="Arial" w:cs="Arial"/>
        </w:rPr>
        <w:t xml:space="preserve">udad de Puebla. El número </w:t>
      </w:r>
      <w:r w:rsidR="00E824EC">
        <w:rPr>
          <w:rFonts w:ascii="Arial" w:hAnsi="Arial" w:cs="Arial"/>
        </w:rPr>
        <w:t>de teléfono es (222) 309 6060</w:t>
      </w:r>
      <w:r>
        <w:rPr>
          <w:rFonts w:ascii="Arial" w:hAnsi="Arial" w:cs="Arial"/>
        </w:rPr>
        <w:t xml:space="preserve">. Así mismo, los </w:t>
      </w:r>
      <w:r w:rsidRPr="002D5D4E">
        <w:rPr>
          <w:rFonts w:ascii="Arial" w:hAnsi="Arial" w:cs="Arial"/>
        </w:rPr>
        <w:t>derechos ARCO</w:t>
      </w:r>
      <w:r w:rsidR="00281E9B">
        <w:rPr>
          <w:rFonts w:ascii="Arial" w:hAnsi="Arial" w:cs="Arial"/>
        </w:rPr>
        <w:t>P</w:t>
      </w:r>
      <w:r w:rsidRPr="002D5D4E">
        <w:rPr>
          <w:rFonts w:ascii="Arial" w:hAnsi="Arial" w:cs="Arial"/>
        </w:rPr>
        <w:t xml:space="preserve"> se pueden ejercitar por vía d</w:t>
      </w:r>
      <w:r>
        <w:rPr>
          <w:rFonts w:ascii="Arial" w:hAnsi="Arial" w:cs="Arial"/>
        </w:rPr>
        <w:t xml:space="preserve">el Sistema de Solicitudes de la </w:t>
      </w:r>
      <w:r w:rsidRPr="002D5D4E">
        <w:rPr>
          <w:rFonts w:ascii="Arial" w:hAnsi="Arial" w:cs="Arial"/>
        </w:rPr>
        <w:t xml:space="preserve">Plataforma Nacional </w:t>
      </w:r>
      <w:r>
        <w:rPr>
          <w:rFonts w:ascii="Arial" w:hAnsi="Arial" w:cs="Arial"/>
        </w:rPr>
        <w:t xml:space="preserve">de Transparencia </w:t>
      </w:r>
      <w:r w:rsidRPr="002D5D4E">
        <w:rPr>
          <w:rFonts w:ascii="Arial" w:hAnsi="Arial" w:cs="Arial"/>
        </w:rPr>
        <w:t>(</w:t>
      </w:r>
      <w:hyperlink r:id="rId8" w:history="1">
        <w:r w:rsidRPr="00006E25">
          <w:rPr>
            <w:rStyle w:val="Hipervnculo"/>
            <w:rFonts w:ascii="Arial" w:hAnsi="Arial" w:cs="Arial"/>
          </w:rPr>
          <w:t>www.plataformadetransparencia.org.mx</w:t>
        </w:r>
      </w:hyperlink>
      <w:r w:rsidRPr="002D5D4E">
        <w:rPr>
          <w:rFonts w:ascii="Arial" w:hAnsi="Arial" w:cs="Arial"/>
        </w:rPr>
        <w:t>).</w:t>
      </w:r>
      <w:r>
        <w:rPr>
          <w:rFonts w:ascii="Arial" w:hAnsi="Arial" w:cs="Arial"/>
        </w:rPr>
        <w:t xml:space="preserve"> Para ello, el solicitante deberá crear una cuenta </w:t>
      </w:r>
      <w:r>
        <w:rPr>
          <w:rFonts w:ascii="Arial" w:hAnsi="Arial" w:cs="Arial"/>
        </w:rPr>
        <w:lastRenderedPageBreak/>
        <w:t xml:space="preserve">en la Plataforma Nacional de Transparencia (PNT), iniciar sesión, </w:t>
      </w:r>
      <w:r w:rsidRPr="0066248E">
        <w:rPr>
          <w:rFonts w:ascii="Arial" w:hAnsi="Arial" w:cs="Arial"/>
        </w:rPr>
        <w:t>señalar al ITAIPUE como sujeto obligado</w:t>
      </w:r>
      <w:r>
        <w:rPr>
          <w:rFonts w:ascii="Arial" w:hAnsi="Arial" w:cs="Arial"/>
        </w:rPr>
        <w:t>, cumplimentar los campos y adjuntar los documentos pertinentes.</w:t>
      </w:r>
    </w:p>
    <w:p w:rsidR="00512B85" w:rsidRPr="007A7597" w:rsidRDefault="00512B85" w:rsidP="00512B85">
      <w:pPr>
        <w:jc w:val="both"/>
        <w:rPr>
          <w:rFonts w:ascii="Arial" w:hAnsi="Arial" w:cs="Arial"/>
          <w:b/>
          <w:sz w:val="24"/>
        </w:rPr>
      </w:pPr>
      <w:r w:rsidRPr="007A7597">
        <w:rPr>
          <w:rFonts w:ascii="Arial" w:hAnsi="Arial" w:cs="Arial"/>
          <w:b/>
          <w:sz w:val="24"/>
        </w:rPr>
        <w:t>9) Medio a través del cual el responsable comunicará los cambios en el Aviso de Privacidad.</w:t>
      </w:r>
    </w:p>
    <w:p w:rsidR="00512B85" w:rsidRDefault="00512B85" w:rsidP="00512B85">
      <w:pPr>
        <w:jc w:val="both"/>
        <w:rPr>
          <w:rFonts w:ascii="Arial" w:hAnsi="Arial" w:cs="Arial"/>
        </w:rPr>
      </w:pPr>
      <w:r w:rsidRPr="007A7597">
        <w:rPr>
          <w:rFonts w:ascii="Arial" w:hAnsi="Arial" w:cs="Arial"/>
        </w:rPr>
        <w:t xml:space="preserve">En caso de que exista un cambio de este aviso de </w:t>
      </w:r>
      <w:r>
        <w:rPr>
          <w:rFonts w:ascii="Arial" w:hAnsi="Arial" w:cs="Arial"/>
        </w:rPr>
        <w:t xml:space="preserve">privacidad, el mismo se hará de </w:t>
      </w:r>
      <w:r w:rsidRPr="007A7597">
        <w:rPr>
          <w:rFonts w:ascii="Arial" w:hAnsi="Arial" w:cs="Arial"/>
        </w:rPr>
        <w:t>conocimiento general a través del sitio oficial del In</w:t>
      </w:r>
      <w:r>
        <w:rPr>
          <w:rFonts w:ascii="Arial" w:hAnsi="Arial" w:cs="Arial"/>
        </w:rPr>
        <w:t xml:space="preserve">stituto, cuya dirección web es: </w:t>
      </w:r>
      <w:hyperlink r:id="rId9" w:history="1">
        <w:r w:rsidRPr="001A64DB">
          <w:rPr>
            <w:rStyle w:val="Hipervnculo"/>
            <w:rFonts w:ascii="Arial" w:hAnsi="Arial" w:cs="Arial"/>
          </w:rPr>
          <w:t>www.itaipue.org.mx</w:t>
        </w:r>
      </w:hyperlink>
      <w:r w:rsidRPr="007A7597">
        <w:rPr>
          <w:rFonts w:ascii="Arial" w:hAnsi="Arial" w:cs="Arial"/>
        </w:rPr>
        <w:t>.</w:t>
      </w:r>
      <w:r>
        <w:rPr>
          <w:rFonts w:ascii="Arial" w:hAnsi="Arial" w:cs="Arial"/>
        </w:rPr>
        <w:t xml:space="preserve"> </w:t>
      </w:r>
    </w:p>
    <w:p w:rsidR="00512B85" w:rsidRPr="00E01826" w:rsidRDefault="00512B85" w:rsidP="00512B85">
      <w:pPr>
        <w:jc w:val="right"/>
        <w:rPr>
          <w:rFonts w:ascii="Arial" w:hAnsi="Arial" w:cs="Arial"/>
          <w:sz w:val="18"/>
        </w:rPr>
      </w:pPr>
      <w:r w:rsidRPr="00E01826">
        <w:rPr>
          <w:rFonts w:ascii="Arial" w:hAnsi="Arial" w:cs="Arial"/>
          <w:sz w:val="18"/>
        </w:rPr>
        <w:t xml:space="preserve">Fecha de última actualización: </w:t>
      </w:r>
      <w:r w:rsidR="00E824EC" w:rsidRPr="00E01826">
        <w:rPr>
          <w:rFonts w:ascii="Arial" w:hAnsi="Arial" w:cs="Arial"/>
          <w:sz w:val="18"/>
        </w:rPr>
        <w:t>diciembre de 2022</w:t>
      </w:r>
      <w:r w:rsidRPr="00E01826">
        <w:rPr>
          <w:rFonts w:ascii="Arial" w:hAnsi="Arial" w:cs="Arial"/>
          <w:sz w:val="18"/>
        </w:rPr>
        <w:t>.</w:t>
      </w:r>
    </w:p>
    <w:p w:rsidR="00124F6E" w:rsidRPr="00C93260" w:rsidRDefault="00124F6E" w:rsidP="00124F6E">
      <w:pPr>
        <w:jc w:val="both"/>
        <w:rPr>
          <w:rFonts w:ascii="Arial" w:hAnsi="Arial" w:cs="Arial"/>
        </w:rPr>
      </w:pPr>
    </w:p>
    <w:sectPr w:rsidR="00124F6E" w:rsidRPr="00C93260" w:rsidSect="00420F2B">
      <w:headerReference w:type="default" r:id="rId10"/>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2ED" w:rsidRDefault="00CE32ED" w:rsidP="00C93260">
      <w:pPr>
        <w:spacing w:after="0" w:line="240" w:lineRule="auto"/>
      </w:pPr>
      <w:r>
        <w:separator/>
      </w:r>
    </w:p>
  </w:endnote>
  <w:endnote w:type="continuationSeparator" w:id="0">
    <w:p w:rsidR="00CE32ED" w:rsidRDefault="00CE32ED" w:rsidP="00C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2ED" w:rsidRDefault="00CE32ED" w:rsidP="00C93260">
      <w:pPr>
        <w:spacing w:after="0" w:line="240" w:lineRule="auto"/>
      </w:pPr>
      <w:r>
        <w:separator/>
      </w:r>
    </w:p>
  </w:footnote>
  <w:footnote w:type="continuationSeparator" w:id="0">
    <w:p w:rsidR="00CE32ED" w:rsidRDefault="00CE32ED" w:rsidP="00C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60" w:rsidRDefault="008C04B9">
    <w:pPr>
      <w:pStyle w:val="Encabezado"/>
    </w:pPr>
    <w:r>
      <w:rPr>
        <w:noProof/>
        <w:lang w:eastAsia="es-MX"/>
      </w:rPr>
      <mc:AlternateContent>
        <mc:Choice Requires="wps">
          <w:drawing>
            <wp:anchor distT="0" distB="0" distL="114300" distR="114300" simplePos="0" relativeHeight="251657216" behindDoc="0" locked="0" layoutInCell="1" allowOverlap="1">
              <wp:simplePos x="0" y="0"/>
              <wp:positionH relativeFrom="margin">
                <wp:posOffset>1630680</wp:posOffset>
              </wp:positionH>
              <wp:positionV relativeFrom="paragraph">
                <wp:posOffset>112395</wp:posOffset>
              </wp:positionV>
              <wp:extent cx="3962400" cy="11811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39624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0F2B" w:rsidRPr="006C44C7" w:rsidRDefault="00420F2B" w:rsidP="00420F2B">
                          <w:pPr>
                            <w:jc w:val="center"/>
                            <w:rPr>
                              <w:rFonts w:ascii="Arial" w:hAnsi="Arial" w:cs="Arial"/>
                              <w:b/>
                              <w:sz w:val="40"/>
                              <w:szCs w:val="24"/>
                            </w:rPr>
                          </w:pPr>
                          <w:r w:rsidRPr="006C44C7">
                            <w:rPr>
                              <w:rFonts w:ascii="Arial" w:hAnsi="Arial" w:cs="Arial"/>
                              <w:b/>
                              <w:sz w:val="40"/>
                              <w:szCs w:val="24"/>
                            </w:rPr>
                            <w:t>AVISO DE PRIVACIDAD INTEGRAL</w:t>
                          </w:r>
                        </w:p>
                        <w:p w:rsidR="00420F2B" w:rsidRPr="004D3536" w:rsidRDefault="00420F2B" w:rsidP="00420F2B">
                          <w:pPr>
                            <w:jc w:val="center"/>
                            <w:rPr>
                              <w:rFonts w:ascii="Arial" w:hAnsi="Arial" w:cs="Arial"/>
                              <w:b/>
                              <w:sz w:val="20"/>
                              <w:szCs w:val="24"/>
                            </w:rPr>
                          </w:pPr>
                          <w:r w:rsidRPr="004D3536">
                            <w:rPr>
                              <w:rFonts w:ascii="Arial" w:hAnsi="Arial" w:cs="Arial"/>
                              <w:b/>
                              <w:sz w:val="20"/>
                              <w:szCs w:val="24"/>
                            </w:rPr>
                            <w:t xml:space="preserve">BASES DE DATOS REFERENTE A </w:t>
                          </w:r>
                          <w:r w:rsidR="00C64AA8" w:rsidRPr="004D3536">
                            <w:rPr>
                              <w:rFonts w:ascii="Arial" w:hAnsi="Arial" w:cs="Arial"/>
                              <w:b/>
                              <w:sz w:val="20"/>
                              <w:szCs w:val="24"/>
                            </w:rPr>
                            <w:t xml:space="preserve">LAS </w:t>
                          </w:r>
                          <w:r w:rsidR="00F4541B">
                            <w:rPr>
                              <w:rFonts w:ascii="Arial" w:hAnsi="Arial" w:cs="Arial"/>
                              <w:b/>
                              <w:sz w:val="20"/>
                              <w:szCs w:val="24"/>
                            </w:rPr>
                            <w:t>CONTRATACIONES CON PROVEEDORES</w:t>
                          </w:r>
                        </w:p>
                        <w:p w:rsidR="00420F2B" w:rsidRPr="00C64AA8" w:rsidRDefault="00420F2B">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28.4pt;margin-top:8.85pt;width:312pt;height:9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" fillcolor="white [3201]" strokeweight=".5pt">
              <v:textbox>
                <w:txbxContent>
                  <w:p w:rsidR="00420F2B" w:rsidRPr="006C44C7" w:rsidRDefault="00420F2B" w:rsidP="00420F2B">
                    <w:pPr>
                      <w:jc w:val="center"/>
                      <w:rPr>
                        <w:rFonts w:ascii="Arial" w:hAnsi="Arial" w:cs="Arial"/>
                        <w:b/>
                        <w:sz w:val="40"/>
                        <w:szCs w:val="24"/>
                      </w:rPr>
                    </w:pPr>
                    <w:r w:rsidRPr="006C44C7">
                      <w:rPr>
                        <w:rFonts w:ascii="Arial" w:hAnsi="Arial" w:cs="Arial"/>
                        <w:b/>
                        <w:sz w:val="40"/>
                        <w:szCs w:val="24"/>
                      </w:rPr>
                      <w:t>AVISO DE PRIVACIDAD INTEGRAL</w:t>
                    </w:r>
                  </w:p>
                  <w:p w:rsidR="00420F2B" w:rsidRPr="004D3536" w:rsidRDefault="00420F2B" w:rsidP="00420F2B">
                    <w:pPr>
                      <w:jc w:val="center"/>
                      <w:rPr>
                        <w:rFonts w:ascii="Arial" w:hAnsi="Arial" w:cs="Arial"/>
                        <w:b/>
                        <w:sz w:val="20"/>
                        <w:szCs w:val="24"/>
                      </w:rPr>
                    </w:pPr>
                    <w:r w:rsidRPr="004D3536">
                      <w:rPr>
                        <w:rFonts w:ascii="Arial" w:hAnsi="Arial" w:cs="Arial"/>
                        <w:b/>
                        <w:sz w:val="20"/>
                        <w:szCs w:val="24"/>
                      </w:rPr>
                      <w:t xml:space="preserve">BASES DE DATOS REFERENTE A </w:t>
                    </w:r>
                    <w:r w:rsidR="00C64AA8" w:rsidRPr="004D3536">
                      <w:rPr>
                        <w:rFonts w:ascii="Arial" w:hAnsi="Arial" w:cs="Arial"/>
                        <w:b/>
                        <w:sz w:val="20"/>
                        <w:szCs w:val="24"/>
                      </w:rPr>
                      <w:t xml:space="preserve">LAS </w:t>
                    </w:r>
                    <w:r w:rsidR="00F4541B">
                      <w:rPr>
                        <w:rFonts w:ascii="Arial" w:hAnsi="Arial" w:cs="Arial"/>
                        <w:b/>
                        <w:sz w:val="20"/>
                        <w:szCs w:val="24"/>
                      </w:rPr>
                      <w:t>CONTRATACIONES CON PROVEEDORES</w:t>
                    </w:r>
                  </w:p>
                  <w:p w:rsidR="00420F2B" w:rsidRPr="00C64AA8" w:rsidRDefault="00420F2B">
                    <w:pPr>
                      <w:rPr>
                        <w:sz w:val="16"/>
                      </w:rPr>
                    </w:pPr>
                  </w:p>
                </w:txbxContent>
              </v:textbox>
              <w10:wrap anchorx="margin"/>
            </v:shape>
          </w:pict>
        </mc:Fallback>
      </mc:AlternateContent>
    </w:r>
    <w:r w:rsidR="00CE32ED">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520923" o:spid="_x0000_s2049" type="#_x0000_t75" style="position:absolute;margin-left:-84.65pt;margin-top:-155.65pt;width:614.05pt;height:794.85pt;z-index:-251658240;mso-position-horizontal-relative:margin;mso-position-vertical-relative:margin" o:allowincell="f">
          <v:imagedata r:id="rId1" o:title="avisos de privacidad"/>
          <w10:wrap anchorx="margin" anchory="margin"/>
        </v:shape>
      </w:pict>
    </w: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84C2F"/>
    <w:multiLevelType w:val="hybridMultilevel"/>
    <w:tmpl w:val="19C27348"/>
    <w:lvl w:ilvl="0" w:tplc="A8F44422">
      <w:start w:val="1"/>
      <w:numFmt w:val="upperLetter"/>
      <w:lvlText w:val="%1)"/>
      <w:lvlJc w:val="left"/>
      <w:pPr>
        <w:ind w:left="720" w:hanging="360"/>
      </w:pPr>
      <w:rPr>
        <w:rFonts w:ascii="Arial Black" w:hAnsi="Arial Black" w:hint="default"/>
        <w:b/>
        <w:i w:val="0"/>
        <w:color w:val="1F3864" w:themeColor="accent5" w:themeShade="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99"/>
    <w:rsid w:val="0002015E"/>
    <w:rsid w:val="00026DA0"/>
    <w:rsid w:val="000478BA"/>
    <w:rsid w:val="000805C6"/>
    <w:rsid w:val="000C51A9"/>
    <w:rsid w:val="000C5BB3"/>
    <w:rsid w:val="000C7C82"/>
    <w:rsid w:val="000F00BF"/>
    <w:rsid w:val="00104793"/>
    <w:rsid w:val="00124F6E"/>
    <w:rsid w:val="00136BA8"/>
    <w:rsid w:val="001414EA"/>
    <w:rsid w:val="00147160"/>
    <w:rsid w:val="00181445"/>
    <w:rsid w:val="001B09E4"/>
    <w:rsid w:val="00214250"/>
    <w:rsid w:val="002741D5"/>
    <w:rsid w:val="00281E9B"/>
    <w:rsid w:val="002A4848"/>
    <w:rsid w:val="002D42C1"/>
    <w:rsid w:val="002E0E00"/>
    <w:rsid w:val="00327758"/>
    <w:rsid w:val="00343504"/>
    <w:rsid w:val="003618B5"/>
    <w:rsid w:val="003630F4"/>
    <w:rsid w:val="003B073C"/>
    <w:rsid w:val="003B1532"/>
    <w:rsid w:val="003C1454"/>
    <w:rsid w:val="003E406E"/>
    <w:rsid w:val="003F088C"/>
    <w:rsid w:val="004152D8"/>
    <w:rsid w:val="00420F2B"/>
    <w:rsid w:val="00433FA4"/>
    <w:rsid w:val="00446036"/>
    <w:rsid w:val="00466159"/>
    <w:rsid w:val="004A1760"/>
    <w:rsid w:val="004B4D2E"/>
    <w:rsid w:val="004C5A0D"/>
    <w:rsid w:val="004D3536"/>
    <w:rsid w:val="004E00F7"/>
    <w:rsid w:val="004E3343"/>
    <w:rsid w:val="004F2452"/>
    <w:rsid w:val="004F2B20"/>
    <w:rsid w:val="00512B85"/>
    <w:rsid w:val="00516E76"/>
    <w:rsid w:val="005367F9"/>
    <w:rsid w:val="00637475"/>
    <w:rsid w:val="0068217D"/>
    <w:rsid w:val="006E0176"/>
    <w:rsid w:val="00703EF1"/>
    <w:rsid w:val="00713CD5"/>
    <w:rsid w:val="00733438"/>
    <w:rsid w:val="0075269D"/>
    <w:rsid w:val="0075410A"/>
    <w:rsid w:val="00770A39"/>
    <w:rsid w:val="00775D4A"/>
    <w:rsid w:val="00776F3B"/>
    <w:rsid w:val="00796A21"/>
    <w:rsid w:val="007C619D"/>
    <w:rsid w:val="007C74F5"/>
    <w:rsid w:val="007D75ED"/>
    <w:rsid w:val="008025B8"/>
    <w:rsid w:val="00872AF5"/>
    <w:rsid w:val="008B11B8"/>
    <w:rsid w:val="008B7F94"/>
    <w:rsid w:val="008C04B9"/>
    <w:rsid w:val="008E4A1C"/>
    <w:rsid w:val="0092607A"/>
    <w:rsid w:val="00931FDD"/>
    <w:rsid w:val="009443EA"/>
    <w:rsid w:val="00947614"/>
    <w:rsid w:val="00947A6C"/>
    <w:rsid w:val="00957F93"/>
    <w:rsid w:val="00975EB0"/>
    <w:rsid w:val="009E1804"/>
    <w:rsid w:val="00A11B50"/>
    <w:rsid w:val="00A528CD"/>
    <w:rsid w:val="00A75C2A"/>
    <w:rsid w:val="00A952FD"/>
    <w:rsid w:val="00AF17BF"/>
    <w:rsid w:val="00B1408D"/>
    <w:rsid w:val="00B1432A"/>
    <w:rsid w:val="00B33BB2"/>
    <w:rsid w:val="00B469BC"/>
    <w:rsid w:val="00B81E93"/>
    <w:rsid w:val="00BB2967"/>
    <w:rsid w:val="00C3339C"/>
    <w:rsid w:val="00C34D76"/>
    <w:rsid w:val="00C52D99"/>
    <w:rsid w:val="00C61DF5"/>
    <w:rsid w:val="00C64AA8"/>
    <w:rsid w:val="00C93260"/>
    <w:rsid w:val="00C94202"/>
    <w:rsid w:val="00CC45CD"/>
    <w:rsid w:val="00CC6996"/>
    <w:rsid w:val="00CE32ED"/>
    <w:rsid w:val="00D13BBA"/>
    <w:rsid w:val="00D5271B"/>
    <w:rsid w:val="00D54530"/>
    <w:rsid w:val="00D8375F"/>
    <w:rsid w:val="00D97090"/>
    <w:rsid w:val="00DA7A58"/>
    <w:rsid w:val="00DB037E"/>
    <w:rsid w:val="00DD276C"/>
    <w:rsid w:val="00DE608A"/>
    <w:rsid w:val="00E01826"/>
    <w:rsid w:val="00E12CCF"/>
    <w:rsid w:val="00E55633"/>
    <w:rsid w:val="00E55BD9"/>
    <w:rsid w:val="00E67C5C"/>
    <w:rsid w:val="00E81C4D"/>
    <w:rsid w:val="00E824EC"/>
    <w:rsid w:val="00E85E17"/>
    <w:rsid w:val="00E87DBC"/>
    <w:rsid w:val="00E96B02"/>
    <w:rsid w:val="00EC422F"/>
    <w:rsid w:val="00EE6D9D"/>
    <w:rsid w:val="00F04502"/>
    <w:rsid w:val="00F050A2"/>
    <w:rsid w:val="00F24827"/>
    <w:rsid w:val="00F4541B"/>
    <w:rsid w:val="00FD4476"/>
    <w:rsid w:val="00FF6E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57397-921A-4990-967F-7100B7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4F5"/>
    <w:rPr>
      <w:color w:val="0563C1" w:themeColor="hyperlink"/>
      <w:u w:val="single"/>
    </w:rPr>
  </w:style>
  <w:style w:type="paragraph" w:styleId="Encabezado">
    <w:name w:val="header"/>
    <w:basedOn w:val="Normal"/>
    <w:link w:val="EncabezadoCar"/>
    <w:uiPriority w:val="99"/>
    <w:unhideWhenUsed/>
    <w:rsid w:val="00C9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260"/>
  </w:style>
  <w:style w:type="paragraph" w:styleId="Piedepgina">
    <w:name w:val="footer"/>
    <w:basedOn w:val="Normal"/>
    <w:link w:val="PiedepginaCar"/>
    <w:uiPriority w:val="99"/>
    <w:unhideWhenUsed/>
    <w:rsid w:val="00C93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260"/>
  </w:style>
  <w:style w:type="character" w:styleId="Refdecomentario">
    <w:name w:val="annotation reference"/>
    <w:basedOn w:val="Fuentedeprrafopredeter"/>
    <w:uiPriority w:val="99"/>
    <w:semiHidden/>
    <w:unhideWhenUsed/>
    <w:rsid w:val="003B1532"/>
    <w:rPr>
      <w:sz w:val="16"/>
      <w:szCs w:val="16"/>
    </w:rPr>
  </w:style>
  <w:style w:type="paragraph" w:styleId="Textocomentario">
    <w:name w:val="annotation text"/>
    <w:basedOn w:val="Normal"/>
    <w:link w:val="TextocomentarioCar"/>
    <w:uiPriority w:val="99"/>
    <w:semiHidden/>
    <w:unhideWhenUsed/>
    <w:rsid w:val="003B15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1532"/>
    <w:rPr>
      <w:sz w:val="20"/>
      <w:szCs w:val="20"/>
    </w:rPr>
  </w:style>
  <w:style w:type="paragraph" w:styleId="Asuntodelcomentario">
    <w:name w:val="annotation subject"/>
    <w:basedOn w:val="Textocomentario"/>
    <w:next w:val="Textocomentario"/>
    <w:link w:val="AsuntodelcomentarioCar"/>
    <w:uiPriority w:val="99"/>
    <w:semiHidden/>
    <w:unhideWhenUsed/>
    <w:rsid w:val="003B1532"/>
    <w:rPr>
      <w:b/>
      <w:bCs/>
    </w:rPr>
  </w:style>
  <w:style w:type="character" w:customStyle="1" w:styleId="AsuntodelcomentarioCar">
    <w:name w:val="Asunto del comentario Car"/>
    <w:basedOn w:val="TextocomentarioCar"/>
    <w:link w:val="Asuntodelcomentario"/>
    <w:uiPriority w:val="99"/>
    <w:semiHidden/>
    <w:rsid w:val="003B1532"/>
    <w:rPr>
      <w:b/>
      <w:bCs/>
      <w:sz w:val="20"/>
      <w:szCs w:val="20"/>
    </w:rPr>
  </w:style>
  <w:style w:type="paragraph" w:styleId="Textodeglobo">
    <w:name w:val="Balloon Text"/>
    <w:basedOn w:val="Normal"/>
    <w:link w:val="TextodegloboCar"/>
    <w:uiPriority w:val="99"/>
    <w:semiHidden/>
    <w:unhideWhenUsed/>
    <w:rsid w:val="003B15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1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0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https://itaipue.org.mx/portal/documentos/datosPersonales/ejercerDerechosARCOanteResponsabl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aipue.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4446</TotalTime>
  <Pages>5</Pages>
  <Words>1694</Words>
  <Characters>9321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89</cp:revision>
  <dcterms:created xsi:type="dcterms:W3CDTF">2017-08-24T17:01:00Z</dcterms:created>
  <dcterms:modified xsi:type="dcterms:W3CDTF">2022-11-15T20:24:00Z</dcterms:modified>
</cp:coreProperties>
</file>